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2020年</w:t>
      </w: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宝山区体育局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 xml:space="preserve">主动公开方面 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我局按照《条例》，坚持“公开为原则，不公开为例外”，认真做好政府信息公开基本目录的维护，扎实开展了公文类政府信息的公开工作；及时公开了本单位职责、机构设置信息，财政预算、决算等信息；在“一网通办”平台规范公开了行政许可的依据、条件、程序以及办理结果，深化推进“放管服”改革信息集中公开；加强了体育行政权责清单调整和集中公开；落实了人大代表建议和政协委员提案办理结果公开等。截至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年12月底，主动公开公文类政府信息2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条，全文电子化率达100%，主动公开率为100%。</w:t>
      </w: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 xml:space="preserve">依申请公开方面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/>
        </w:rPr>
        <w:t>我局严格落实依申请公开规范办理机制，完善行政争议的应对机制，健全完善申请件从受理、登记、办理、审核、回复、归档等全流程工作环节。截止20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年12月底，全年共接收处理依申请公开政府信息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件，按时办结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件</w:t>
      </w:r>
      <w:r>
        <w:rPr>
          <w:rFonts w:hint="eastAsia"/>
          <w:lang w:eastAsia="zh-CN"/>
        </w:rPr>
        <w:t>，公开率</w:t>
      </w:r>
      <w:r>
        <w:rPr>
          <w:rFonts w:hint="eastAsia"/>
          <w:lang w:val="en-US" w:eastAsia="zh-CN"/>
        </w:rPr>
        <w:t>100%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/>
        </w:rPr>
      </w:pPr>
      <w:r>
        <w:rPr>
          <w:rFonts w:hint="eastAsia"/>
        </w:rPr>
        <w:t xml:space="preserve">政府信息管理方面 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</w:rPr>
        <w:t xml:space="preserve">我局高度重视政府信息公开工作的标准化、规范化、信息化管理，制定政府信息公开工作实施细则，建立健全公文类信息公开预先审核制度，落实政府信息公开性源头认定机制。所有政府信息都在制定或获取时认定其公开属性，规范公文发布流程，确保公文发布及时、准确、安全。严格执行政府信息公开保密审查制度，对拟公开的政府信息依法依规做好保密审查工作，建立公开内容动态扩展和定期审查机制，公文变更后及时公开和告知，并做好注明，每年定期对公文进行自查，保证政府信息公开严格依法、及时全面发布。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 xml:space="preserve">平台建设方面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/>
        </w:rPr>
        <w:t>我局充分</w:t>
      </w:r>
      <w:r>
        <w:rPr>
          <w:rFonts w:hint="eastAsia"/>
          <w:lang w:eastAsia="zh-CN"/>
        </w:rPr>
        <w:t>发挥</w:t>
      </w:r>
      <w:r>
        <w:rPr>
          <w:rFonts w:hint="eastAsia"/>
        </w:rPr>
        <w:t>官方网站信息公开第一平台作用，优化信息发布、解读政策、关切回应、舆论引导等功能。加强政务新媒体建设，进一步对“宝山体育”微信号功能进行升级，扩大信息传播范围和影响力。加快适应大数据发展趋势，推动政府信息公开向数据开放拓展，强化政务大数据与网上政务大厅、社区公共服务平台等办事平台融合应用。加大媒体合作力度，强化与宝山融媒体平台合作，统筹运用媒体平台做好发布工作，提升信息传播效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/>
          <w:lang w:eastAsia="zh-CN"/>
        </w:rPr>
        <w:t>（五）</w:t>
      </w:r>
      <w:r>
        <w:rPr>
          <w:rFonts w:hint="eastAsia"/>
        </w:rPr>
        <w:t xml:space="preserve">监督保障方面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/>
        </w:rPr>
        <w:t>我局加强政务公开的组织领导，成立了政务公开工作领导小组，由局</w:t>
      </w:r>
      <w:r>
        <w:rPr>
          <w:rFonts w:hint="eastAsia"/>
          <w:lang w:eastAsia="zh-CN"/>
        </w:rPr>
        <w:t>主要领导</w:t>
      </w:r>
      <w:r>
        <w:rPr>
          <w:rFonts w:hint="eastAsia"/>
        </w:rPr>
        <w:t>任组长，</w:t>
      </w:r>
      <w:r>
        <w:rPr>
          <w:rFonts w:hint="eastAsia"/>
          <w:lang w:eastAsia="zh-CN"/>
        </w:rPr>
        <w:t>分管领导任副组长</w:t>
      </w:r>
      <w:r>
        <w:rPr>
          <w:rFonts w:hint="eastAsia"/>
        </w:rPr>
        <w:t>，办公室</w:t>
      </w:r>
      <w:r>
        <w:rPr>
          <w:rFonts w:hint="eastAsia"/>
          <w:lang w:eastAsia="zh-CN"/>
        </w:rPr>
        <w:t>具体负责并</w:t>
      </w:r>
      <w:r>
        <w:rPr>
          <w:rFonts w:hint="eastAsia"/>
        </w:rPr>
        <w:t>配备专职工作人员</w:t>
      </w:r>
      <w:r>
        <w:rPr>
          <w:rFonts w:hint="eastAsia"/>
          <w:lang w:eastAsia="zh-CN"/>
        </w:rPr>
        <w:t>组织推进</w:t>
      </w:r>
      <w:r>
        <w:rPr>
          <w:rFonts w:hint="eastAsia"/>
        </w:rPr>
        <w:t>落实。领导小组负责全局系统政务公开工作的整体规划、组织实施和监督考核工作。局党组（扩大）会、行政办公会等每年定期听取研究政务公开工作，部署推进、督导落实政务公开工作。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26.73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100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940"/>
        <w:gridCol w:w="2308"/>
        <w:gridCol w:w="896"/>
        <w:gridCol w:w="832"/>
        <w:gridCol w:w="832"/>
        <w:gridCol w:w="896"/>
        <w:gridCol w:w="1074"/>
        <w:gridCol w:w="794"/>
        <w:gridCol w:w="7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0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4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3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，区体育局政府信息公开工作取得了一定的成绩，但公开意识有待进一步加强，信息公开工作质量和水平等方面有待进一步提高。下一步，我们将进一步采取以下改进措施：一是深化政府信息公开内容。以体育领域社会关注度高、公共利益强的政府信息等为重点，梳理并固化、优化相关工作机制，进一步完善政府信息的公开内容细则。二是规范政府信息公开行为。进一步规范信息公开流程，加强政府信息资源的规范化、标准化、信息化管理，积极推进政务公开与政务服务的深度融合，努力探索信息公开在线办理等新机制。三是加强基础性工作。完善政府信息公开监督评议制度，实现评议工作常规化、长效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A267"/>
    <w:multiLevelType w:val="singleLevel"/>
    <w:tmpl w:val="01B4A2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1EF5"/>
    <w:rsid w:val="010855CD"/>
    <w:rsid w:val="076A12B7"/>
    <w:rsid w:val="09365D63"/>
    <w:rsid w:val="0A1C7D40"/>
    <w:rsid w:val="0A7E0E61"/>
    <w:rsid w:val="0C4C5CDD"/>
    <w:rsid w:val="0D3A72EA"/>
    <w:rsid w:val="0ED13310"/>
    <w:rsid w:val="10130470"/>
    <w:rsid w:val="124435DF"/>
    <w:rsid w:val="129E217E"/>
    <w:rsid w:val="12FF3E35"/>
    <w:rsid w:val="15714708"/>
    <w:rsid w:val="15C7432D"/>
    <w:rsid w:val="16301DBB"/>
    <w:rsid w:val="19AE1933"/>
    <w:rsid w:val="1C512098"/>
    <w:rsid w:val="1CA00DDD"/>
    <w:rsid w:val="1D4B5AC3"/>
    <w:rsid w:val="1DD8536D"/>
    <w:rsid w:val="1DF4777D"/>
    <w:rsid w:val="1E944B16"/>
    <w:rsid w:val="1F1A7987"/>
    <w:rsid w:val="20611B70"/>
    <w:rsid w:val="21821019"/>
    <w:rsid w:val="21CB47AE"/>
    <w:rsid w:val="21EF2286"/>
    <w:rsid w:val="22285994"/>
    <w:rsid w:val="229218FD"/>
    <w:rsid w:val="232E3F6A"/>
    <w:rsid w:val="23CD16FD"/>
    <w:rsid w:val="25A167E1"/>
    <w:rsid w:val="27726281"/>
    <w:rsid w:val="28175E57"/>
    <w:rsid w:val="28B53D62"/>
    <w:rsid w:val="2B897A7F"/>
    <w:rsid w:val="2D173B0D"/>
    <w:rsid w:val="2FBD4BD4"/>
    <w:rsid w:val="319E6477"/>
    <w:rsid w:val="33421243"/>
    <w:rsid w:val="33F766EE"/>
    <w:rsid w:val="37194656"/>
    <w:rsid w:val="38EA1EA3"/>
    <w:rsid w:val="39381AAC"/>
    <w:rsid w:val="3BD60E7D"/>
    <w:rsid w:val="3C073C07"/>
    <w:rsid w:val="3D1E16F5"/>
    <w:rsid w:val="3EDA6518"/>
    <w:rsid w:val="3FA41B34"/>
    <w:rsid w:val="42C37F71"/>
    <w:rsid w:val="44F4075C"/>
    <w:rsid w:val="4BF10718"/>
    <w:rsid w:val="4CDF1B13"/>
    <w:rsid w:val="4FDD112B"/>
    <w:rsid w:val="5155510B"/>
    <w:rsid w:val="520B6BD4"/>
    <w:rsid w:val="542D3E2D"/>
    <w:rsid w:val="54CB1E00"/>
    <w:rsid w:val="58526F88"/>
    <w:rsid w:val="59892F76"/>
    <w:rsid w:val="5C9304B0"/>
    <w:rsid w:val="5D5851AC"/>
    <w:rsid w:val="5DD406EF"/>
    <w:rsid w:val="5E1209F1"/>
    <w:rsid w:val="5EE90CE0"/>
    <w:rsid w:val="5F47113F"/>
    <w:rsid w:val="5FE94E77"/>
    <w:rsid w:val="62033C6D"/>
    <w:rsid w:val="62C77EE8"/>
    <w:rsid w:val="638B175B"/>
    <w:rsid w:val="644401FD"/>
    <w:rsid w:val="64A376D3"/>
    <w:rsid w:val="64D51F48"/>
    <w:rsid w:val="65796BD0"/>
    <w:rsid w:val="659E2CD7"/>
    <w:rsid w:val="66FD4064"/>
    <w:rsid w:val="684E4434"/>
    <w:rsid w:val="69ED7CDB"/>
    <w:rsid w:val="6B9F2622"/>
    <w:rsid w:val="6EE24118"/>
    <w:rsid w:val="6F6B2539"/>
    <w:rsid w:val="6F72737A"/>
    <w:rsid w:val="6F7604A7"/>
    <w:rsid w:val="6F9A5B50"/>
    <w:rsid w:val="709C6C54"/>
    <w:rsid w:val="71972470"/>
    <w:rsid w:val="719B2188"/>
    <w:rsid w:val="71D11FC8"/>
    <w:rsid w:val="722C547F"/>
    <w:rsid w:val="74AD34E4"/>
    <w:rsid w:val="778B3DD7"/>
    <w:rsid w:val="7ACE6C6C"/>
    <w:rsid w:val="7E5C0574"/>
    <w:rsid w:val="7EB43DD8"/>
    <w:rsid w:val="7F1C40F6"/>
    <w:rsid w:val="7F9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1762</Words>
  <Characters>1844</Characters>
  <Lines>0</Lines>
  <Paragraphs>0</Paragraphs>
  <TotalTime>22</TotalTime>
  <ScaleCrop>false</ScaleCrop>
  <LinksUpToDate>false</LinksUpToDate>
  <CharactersWithSpaces>2070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Administrator</cp:lastModifiedBy>
  <cp:lastPrinted>2021-01-18T03:06:25Z</cp:lastPrinted>
  <dcterms:modified xsi:type="dcterms:W3CDTF">2021-01-18T03:07:44Z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