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附件1：</w:t>
      </w:r>
    </w:p>
    <w:p>
      <w:pPr>
        <w:spacing w:line="560" w:lineRule="exact"/>
        <w:jc w:val="center"/>
        <w:rPr>
          <w:rFonts w:ascii="Times New Roman" w:hAnsi="Times New Roman" w:cs="Times New Roman"/>
          <w:b/>
          <w:color w:val="auto"/>
          <w:sz w:val="36"/>
          <w:szCs w:val="36"/>
        </w:rPr>
      </w:pPr>
    </w:p>
    <w:p>
      <w:pPr>
        <w:spacing w:line="560" w:lineRule="exact"/>
        <w:jc w:val="center"/>
        <w:rPr>
          <w:rFonts w:ascii="华文中宋" w:hAnsi="华文中宋" w:eastAsia="华文中宋" w:cs="Times New Roman"/>
          <w:b w:val="0"/>
          <w:bCs/>
          <w:color w:val="auto"/>
          <w:sz w:val="44"/>
          <w:szCs w:val="44"/>
        </w:rPr>
      </w:pPr>
      <w:r>
        <w:rPr>
          <w:rFonts w:ascii="华文中宋" w:hAnsi="华文中宋" w:eastAsia="华文中宋" w:cs="Times New Roman"/>
          <w:b w:val="0"/>
          <w:bCs/>
          <w:color w:val="auto"/>
          <w:sz w:val="44"/>
          <w:szCs w:val="44"/>
        </w:rPr>
        <w:t>宝山区“全国综合减灾示范社区”复评方案</w:t>
      </w:r>
    </w:p>
    <w:p>
      <w:pPr>
        <w:spacing w:line="560" w:lineRule="exact"/>
        <w:jc w:val="center"/>
        <w:rPr>
          <w:rFonts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认真贯彻习近平总书记关于防灾减灾救灾工作的重要讲话精神，进一步推进宝山区社区综合减灾工作，加强综合减灾社区创建管理，宝山区应急管理局计划对宝山区早期创建的10家全国综合减灾示范社区，按照新的全国综合减灾示范社区创建标准进行检查考核（复评），编制评估报告。特对复评工作作如下安排：</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复评准备（6月8日—6月19日）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各街镇及相关社区，对照全国综合减灾示范社区创建标准（新版），全面做好复评相关准备工作。区应急局召开复评工作启动会议。</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检查考核（6月29日—7月7日）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区应急局与第三方专家成立复评工作小组，现场走访相关社区查阅资料、实地检查进行考核评估。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1、时间安排 每天检查二个社区。具体安排如下（时间如有变动提前联系）：</w:t>
      </w:r>
    </w:p>
    <w:tbl>
      <w:tblPr>
        <w:tblStyle w:val="11"/>
        <w:tblW w:w="1041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09"/>
        <w:gridCol w:w="1960"/>
        <w:gridCol w:w="1123"/>
        <w:gridCol w:w="1123"/>
        <w:gridCol w:w="2191"/>
        <w:gridCol w:w="1308"/>
        <w:gridCol w:w="16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序号</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社区名称</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创建时间</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所在街镇</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地址</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检查日期</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宝虹家园</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2010</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罗泾</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陈川路555弄南门岗居委会活动中心2楼</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6月29日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上午9</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宝悦家苑</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2012</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罗泾</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罗宁路3030弄144号</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6月</w:t>
            </w:r>
            <w:r>
              <w:rPr>
                <w:rFonts w:hint="eastAsia" w:ascii="Times New Roman" w:hAnsi="Times New Roman" w:eastAsia="仿宋" w:cs="Times New Roman"/>
                <w:color w:val="auto"/>
                <w:sz w:val="32"/>
                <w:szCs w:val="32"/>
              </w:rPr>
              <w:t>29</w:t>
            </w:r>
            <w:r>
              <w:rPr>
                <w:rFonts w:ascii="Times New Roman" w:hAnsi="Times New Roman" w:eastAsia="仿宋" w:cs="Times New Roman"/>
                <w:color w:val="auto"/>
                <w:sz w:val="32"/>
                <w:szCs w:val="32"/>
              </w:rPr>
              <w:t>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下午1:30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馨康苑</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2010</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庙行</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共康路169弄25号/2临</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6月30日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上午9</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共和家园</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2011</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庙行</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三泉路1858弄共和家园2号</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6月30日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下午1:30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5</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恒泰家园</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2016</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庙行</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场北路740弄13号4楼</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7月</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上午9</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6</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新梅淞南苑居委会万临家园</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2013</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松南</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长逸路301弄24号2楼</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7月</w:t>
            </w: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下午1:30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7</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美兰湖畔雅苑</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2013</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罗店</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罗迎路558弄100号2楼</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7月</w:t>
            </w: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上午9</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8</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宝连湖景园</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2013</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月浦</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绥化路260弄22号102</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7月</w:t>
            </w: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下午1:30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9</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宝山八村</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2011</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友谊</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宝山区宝山八村81号201室</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7月</w:t>
            </w:r>
            <w:r>
              <w:rPr>
                <w:rFonts w:hint="eastAsia" w:ascii="Times New Roman" w:hAnsi="Times New Roman" w:eastAsia="仿宋" w:cs="Times New Roman"/>
                <w:color w:val="auto"/>
                <w:sz w:val="32"/>
                <w:szCs w:val="32"/>
              </w:rPr>
              <w:t>7</w:t>
            </w:r>
            <w:r>
              <w:rPr>
                <w:rFonts w:ascii="Times New Roman" w:hAnsi="Times New Roman" w:eastAsia="仿宋" w:cs="Times New Roman"/>
                <w:color w:val="auto"/>
                <w:sz w:val="32"/>
                <w:szCs w:val="32"/>
              </w:rPr>
              <w:t>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上午9</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09"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10</w:t>
            </w:r>
          </w:p>
        </w:tc>
        <w:tc>
          <w:tcPr>
            <w:tcW w:w="1960"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天馨花园第一社区</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2012</w:t>
            </w:r>
          </w:p>
        </w:tc>
        <w:tc>
          <w:tcPr>
            <w:tcW w:w="1123"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杨行</w:t>
            </w:r>
          </w:p>
        </w:tc>
        <w:tc>
          <w:tcPr>
            <w:tcW w:w="2191"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蕴川路1498弄106号</w:t>
            </w:r>
          </w:p>
        </w:tc>
        <w:tc>
          <w:tcPr>
            <w:tcW w:w="1308"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7月</w:t>
            </w:r>
            <w:r>
              <w:rPr>
                <w:rFonts w:hint="eastAsia" w:ascii="Times New Roman" w:hAnsi="Times New Roman" w:eastAsia="仿宋" w:cs="Times New Roman"/>
                <w:color w:val="auto"/>
                <w:sz w:val="32"/>
                <w:szCs w:val="32"/>
              </w:rPr>
              <w:t>7</w:t>
            </w:r>
            <w:r>
              <w:rPr>
                <w:rFonts w:ascii="Times New Roman" w:hAnsi="Times New Roman" w:eastAsia="仿宋" w:cs="Times New Roman"/>
                <w:color w:val="auto"/>
                <w:sz w:val="32"/>
                <w:szCs w:val="32"/>
              </w:rPr>
              <w:t>日</w:t>
            </w:r>
          </w:p>
        </w:tc>
        <w:tc>
          <w:tcPr>
            <w:tcW w:w="1697" w:type="dxa"/>
            <w:vAlign w:val="center"/>
          </w:tcPr>
          <w:p>
            <w:pPr>
              <w:snapToGrid w:val="0"/>
              <w:spacing w:line="560" w:lineRule="exact"/>
              <w:jc w:val="cente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下午1:30</w:t>
            </w:r>
          </w:p>
        </w:tc>
      </w:tr>
    </w:tbl>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2、考核程序</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首次会议。评审开始时由评审组长召开评审专家与被评审社区有关人员会议，评审组长简述综合减灾示范社区创建复评的目的意义、评分标准、评审方法以及介绍参加评审的专家。社区负责人介绍社区基本情况、创建综合减灾社区过程中所做的工作，取得的成绩以及介绍参加会议的有关人员。（2）对标评审。根据评审内容，在社区有关同志配合下评审专家分别查阅相关资料，实地检查和检试设施设备，对照评分标准客观公正予以赋分。评审组长汇总各级指标得分，得出评审总分（百分制）。（3）末次会议。对标评审打分结束后，评审组长召开评审专家与被评审社区有关人员会议。评审专家对各项评审指标的得分情况向与会者汇报，评审组长通报评审结果，即评审总分，对被评审社区所做的工作和取得的成绩予以肯定，对存在的不足提出整改建议并给予指导。社区负责人表态。最后评审组长宣布本次评审结束。</w:t>
      </w:r>
    </w:p>
    <w:p>
      <w:pPr>
        <w:pStyle w:val="15"/>
        <w:numPr>
          <w:ilvl w:val="0"/>
          <w:numId w:val="1"/>
        </w:numPr>
        <w:spacing w:line="560" w:lineRule="exact"/>
        <w:ind w:firstLine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总结汇总（7月8日—7月20日）</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每个被评审社区出具评审报告，评审报告由评审组长指定评审专家编写，评审组长审核。评审报告的内容包括被评审社区的基本情况、各级指标评审得分情况、评审总分、被评社区这些年在综合减灾方面所做的主要工作、取得的成绩及经验、存在的不足或隐患、提出改进建议。</w:t>
      </w:r>
    </w:p>
    <w:p>
      <w:pPr>
        <w:pStyle w:val="15"/>
        <w:numPr>
          <w:ilvl w:val="0"/>
          <w:numId w:val="1"/>
        </w:numPr>
        <w:spacing w:line="560" w:lineRule="exact"/>
        <w:ind w:firstLine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复评标准</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参考《全国综合减灾示范社区创建标准》评分表，见下表</w:t>
      </w:r>
    </w:p>
    <w:p>
      <w:pPr>
        <w:jc w:val="center"/>
        <w:rPr>
          <w:rFonts w:ascii="方正黑体_GBK" w:hAnsi="方正黑体_GBK" w:eastAsia="方正黑体_GBK" w:cs="方正黑体_GBK"/>
          <w:b/>
          <w:color w:val="auto"/>
          <w:sz w:val="36"/>
          <w:szCs w:val="36"/>
        </w:rPr>
      </w:pPr>
      <w:r>
        <w:rPr>
          <w:rFonts w:hint="eastAsia" w:ascii="华文中宋" w:hAnsi="华文中宋" w:eastAsia="华文中宋" w:cs="华文中宋"/>
          <w:b w:val="0"/>
          <w:bCs/>
          <w:color w:val="auto"/>
          <w:sz w:val="36"/>
          <w:szCs w:val="36"/>
        </w:rPr>
        <w:t>《全国综合减灾示范社区创建标准》评分参考表</w:t>
      </w:r>
    </w:p>
    <w:tbl>
      <w:tblPr>
        <w:tblStyle w:val="10"/>
        <w:tblW w:w="9950" w:type="dxa"/>
        <w:jc w:val="center"/>
        <w:tblInd w:w="0" w:type="dxa"/>
        <w:tblLayout w:type="fixed"/>
        <w:tblCellMar>
          <w:top w:w="0" w:type="dxa"/>
          <w:left w:w="108" w:type="dxa"/>
          <w:bottom w:w="0" w:type="dxa"/>
          <w:right w:w="108" w:type="dxa"/>
        </w:tblCellMar>
      </w:tblPr>
      <w:tblGrid>
        <w:gridCol w:w="1394"/>
        <w:gridCol w:w="1956"/>
        <w:gridCol w:w="4992"/>
        <w:gridCol w:w="876"/>
        <w:gridCol w:w="732"/>
      </w:tblGrid>
      <w:tr>
        <w:tblPrEx>
          <w:tblLayout w:type="fixed"/>
          <w:tblCellMar>
            <w:top w:w="0" w:type="dxa"/>
            <w:left w:w="108" w:type="dxa"/>
            <w:bottom w:w="0" w:type="dxa"/>
            <w:right w:w="108" w:type="dxa"/>
          </w:tblCellMar>
        </w:tblPrEx>
        <w:trPr>
          <w:jc w:val="center"/>
        </w:trPr>
        <w:tc>
          <w:tcPr>
            <w:tcW w:w="1394"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方正黑体_GBK" w:hAnsi="方正黑体_GBK" w:eastAsia="方正黑体_GBK" w:cs="方正黑体_GBK"/>
                <w:b/>
                <w:color w:val="auto"/>
                <w:sz w:val="24"/>
                <w:szCs w:val="24"/>
              </w:rPr>
            </w:pPr>
            <w:r>
              <w:rPr>
                <w:rFonts w:hint="eastAsia" w:ascii="方正黑体_GBK" w:hAnsi="方正黑体_GBK" w:eastAsia="方正黑体_GBK" w:cs="方正黑体_GBK"/>
                <w:b/>
                <w:color w:val="auto"/>
                <w:sz w:val="24"/>
                <w:szCs w:val="24"/>
              </w:rPr>
              <w:t>一级指标</w:t>
            </w:r>
          </w:p>
        </w:tc>
        <w:tc>
          <w:tcPr>
            <w:tcW w:w="1956"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方正黑体_GBK" w:hAnsi="方正黑体_GBK" w:eastAsia="方正黑体_GBK" w:cs="方正黑体_GBK"/>
                <w:b/>
                <w:color w:val="auto"/>
                <w:sz w:val="24"/>
                <w:szCs w:val="24"/>
              </w:rPr>
            </w:pPr>
            <w:r>
              <w:rPr>
                <w:rFonts w:hint="eastAsia" w:ascii="方正黑体_GBK" w:hAnsi="方正黑体_GBK" w:eastAsia="方正黑体_GBK" w:cs="方正黑体_GBK"/>
                <w:b/>
                <w:color w:val="auto"/>
                <w:sz w:val="24"/>
                <w:szCs w:val="24"/>
              </w:rPr>
              <w:t>二级指标</w:t>
            </w:r>
          </w:p>
        </w:tc>
        <w:tc>
          <w:tcPr>
            <w:tcW w:w="499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方正黑体_GBK" w:hAnsi="方正黑体_GBK" w:eastAsia="方正黑体_GBK" w:cs="方正黑体_GBK"/>
                <w:b/>
                <w:color w:val="auto"/>
                <w:sz w:val="24"/>
                <w:szCs w:val="24"/>
              </w:rPr>
            </w:pPr>
            <w:r>
              <w:rPr>
                <w:rFonts w:hint="eastAsia" w:ascii="方正黑体_GBK" w:hAnsi="方正黑体_GBK" w:eastAsia="方正黑体_GBK" w:cs="方正黑体_GBK"/>
                <w:b/>
                <w:color w:val="auto"/>
                <w:sz w:val="24"/>
                <w:szCs w:val="24"/>
              </w:rPr>
              <w:t>评定内容</w:t>
            </w:r>
          </w:p>
        </w:tc>
        <w:tc>
          <w:tcPr>
            <w:tcW w:w="876"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方正黑体_GBK" w:hAnsi="方正黑体_GBK" w:eastAsia="方正黑体_GBK" w:cs="方正黑体_GBK"/>
                <w:b/>
                <w:color w:val="auto"/>
                <w:sz w:val="24"/>
                <w:szCs w:val="24"/>
              </w:rPr>
            </w:pPr>
            <w:r>
              <w:rPr>
                <w:rFonts w:hint="eastAsia" w:ascii="方正黑体_GBK" w:hAnsi="方正黑体_GBK" w:eastAsia="方正黑体_GBK" w:cs="方正黑体_GBK"/>
                <w:b/>
                <w:color w:val="auto"/>
                <w:sz w:val="24"/>
                <w:szCs w:val="24"/>
              </w:rPr>
              <w:t>满分分值</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方正黑体_GBK" w:hAnsi="方正黑体_GBK" w:eastAsia="方正黑体_GBK" w:cs="方正黑体_GBK"/>
                <w:b/>
                <w:color w:val="auto"/>
                <w:sz w:val="24"/>
                <w:szCs w:val="24"/>
              </w:rPr>
            </w:pPr>
            <w:r>
              <w:rPr>
                <w:rFonts w:hint="eastAsia" w:ascii="方正黑体_GBK" w:hAnsi="方正黑体_GBK" w:eastAsia="方正黑体_GBK" w:cs="方正黑体_GBK"/>
                <w:b/>
                <w:color w:val="auto"/>
                <w:sz w:val="24"/>
                <w:szCs w:val="24"/>
              </w:rPr>
              <w:t>考核分数</w:t>
            </w: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bottom w:val="single" w:color="000000" w:sz="6" w:space="0"/>
              <w:right w:val="single" w:color="000000" w:sz="6" w:space="0"/>
            </w:tcBorders>
            <w:vAlign w:val="center"/>
          </w:tcPr>
          <w:p>
            <w:pPr>
              <w:numPr>
                <w:ilvl w:val="0"/>
                <w:numId w:val="2"/>
              </w:num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w:t>
            </w:r>
          </w:p>
          <w:p>
            <w:pPr>
              <w:snapToGrid w:val="0"/>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1.1领导机构</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设立社区综合减灾工作领导机构，具体负责本社区防灾减灾救灾、安全生产工作。每年至少召开一次会议。</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1.2工作制度</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制定社区综合减灾规章制度，与当地应有关单位及邻近社区建立协调联动机制，规范开展综合减灾工作。</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1.3网格化管理</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在社区推进灾害事故风险隐患网格化管理，社区网格化覆盖率100%。</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网格员发现的事故隐患处理率100%。</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1.4经费投入</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在防灾减灾救灾、安全生产等方面有固定的经费投入，并严格管理和规范使用。每年经费超过10万元。</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1.5参加保险</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鼓励社区居民参加各类灾害事故保险。</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1.6工作档案</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建立规范、齐全的创建管理工作档案，每年通过示范社区创建管理系统上报一次有关情况。</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bottom w:val="single" w:color="000000" w:sz="6" w:space="0"/>
              <w:right w:val="single" w:color="000000" w:sz="6" w:space="0"/>
            </w:tcBorders>
            <w:vAlign w:val="center"/>
          </w:tcPr>
          <w:p>
            <w:pPr>
              <w:numPr>
                <w:ilvl w:val="0"/>
                <w:numId w:val="2"/>
              </w:num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风险</w:t>
            </w:r>
          </w:p>
          <w:p>
            <w:pPr>
              <w:snapToGrid w:val="0"/>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2.1灾害风险</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地图</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定期开展社区灾害风险评估。至少每半年一次。</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社区灾害风险地图标识清晰，实用性强。</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2.2脆弱人群</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清单</w:t>
            </w:r>
          </w:p>
        </w:tc>
        <w:tc>
          <w:tcPr>
            <w:tcW w:w="4992" w:type="dxa"/>
            <w:tcBorders>
              <w:top w:val="single" w:color="000000" w:sz="6" w:space="0"/>
              <w:left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社区脆弱人群清单涵盖辖区内所有脆弱人群，明确脆弱人群结对帮扶救助措施，向脆弱人群发放防灾减灾明白卡。</w:t>
            </w:r>
          </w:p>
        </w:tc>
        <w:tc>
          <w:tcPr>
            <w:tcW w:w="876" w:type="dxa"/>
            <w:tcBorders>
              <w:top w:val="single" w:color="000000" w:sz="6" w:space="0"/>
              <w:left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2.3市政管线</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检查</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定期检查辖区内市政管线，确保安全运行。</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居住建筑电气线路安装敷设规范，合格率100%。</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2.4场所和设施    </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检查</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定期检查辖区内高层建筑电梯，确保安全运行。</w:t>
            </w:r>
          </w:p>
        </w:tc>
        <w:tc>
          <w:tcPr>
            <w:tcW w:w="876" w:type="dxa"/>
            <w:tcBorders>
              <w:top w:val="single" w:color="000000" w:sz="6" w:space="0"/>
              <w:left w:val="single" w:color="000000" w:sz="6" w:space="0"/>
              <w:bottom w:val="single" w:color="auto" w:sz="4"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auto" w:sz="4"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评估人员密集场所风险，建立大客流监测预警和应急管控制度。</w:t>
            </w:r>
          </w:p>
        </w:tc>
        <w:tc>
          <w:tcPr>
            <w:tcW w:w="876" w:type="dxa"/>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auto" w:sz="4"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2.5生命通道</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畅通</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定期检查消防通道、疏散通道、安全出口和居民楼内通道，确保生命通道符合标准要求，合格率100%。</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2.6易燃易爆危险化学物品管理</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住宅楼的竖向管井管道防火封堵严密，电缆井、管道井等公共区域不堆放易燃可燃物品，合格率100%。</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auto" w:sz="4"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auto" w:sz="4"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辖区内无违规储存、使用或销售易燃易爆危险物品等情况。</w:t>
            </w:r>
          </w:p>
        </w:tc>
        <w:tc>
          <w:tcPr>
            <w:tcW w:w="876" w:type="dxa"/>
            <w:tcBorders>
              <w:top w:val="single" w:color="000000" w:sz="6" w:space="0"/>
              <w:left w:val="single" w:color="000000" w:sz="6" w:space="0"/>
              <w:bottom w:val="single" w:color="auto" w:sz="4"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auto" w:sz="4"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bottom w:val="single" w:color="000000" w:sz="6" w:space="0"/>
              <w:right w:val="single" w:color="000000" w:sz="6" w:space="0"/>
            </w:tcBorders>
            <w:vAlign w:val="center"/>
          </w:tcPr>
          <w:p>
            <w:pPr>
              <w:numPr>
                <w:ilvl w:val="0"/>
                <w:numId w:val="2"/>
              </w:num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隐患</w:t>
            </w:r>
          </w:p>
          <w:p>
            <w:pPr>
              <w:snapToGrid w:val="0"/>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治理</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（12分）</w:t>
            </w: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3.1事故隐患</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清单</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社区事故隐患清单中注明事故危险源、危险设施、设施损坏、设备缺失等相关信息。</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采取有效措施治理事故隐患，并至少每季度一次在社区公开。</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3.2灾害隐患</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治理</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汛前开展社区防汛检查，有效整改洪水、内涝风险隐患点。</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在地质灾害隐患点设置警示标识，并加强日常监测。</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3.3电器火灾</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隐患治理</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依托专业技术力量，至少每半年维护保养一次公共电气设备设施，及时整改电气火灾隐患。</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3.4电动自行车  </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管理</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治理电动自行车违规停放，电动自行车充电场所满足消防安全条件。因客观条件无法设置集中停放、充电场所的，加强日常管理。</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3.5可燃气体</w:t>
            </w:r>
          </w:p>
          <w:p>
            <w:pP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报警装置</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辖区内餐饮场所按规定安装可燃气体浓度报警装置，安装率100%。</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3.6事故与伤害</w:t>
            </w:r>
          </w:p>
          <w:p>
            <w:pP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记录机制</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建立辖区内事故与伤害记录机制，指定专人每季度进行一次各类事故与伤害数据的收集、整理与分析。</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bottom w:val="single" w:color="000000" w:sz="6" w:space="0"/>
              <w:right w:val="single" w:color="000000" w:sz="6" w:space="0"/>
            </w:tcBorders>
            <w:vAlign w:val="center"/>
          </w:tcPr>
          <w:p>
            <w:pPr>
              <w:numPr>
                <w:ilvl w:val="0"/>
                <w:numId w:val="2"/>
              </w:num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设施建设</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（18分）</w:t>
            </w:r>
          </w:p>
        </w:tc>
        <w:tc>
          <w:tcPr>
            <w:tcW w:w="1956"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4.1抗震设防</w:t>
            </w:r>
          </w:p>
          <w:p>
            <w:pP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水平</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辖区内学校、医院、生命线系统等重点设防类设施按高于本地区抗震设防烈度的要求加强其抗震措施，其他重大工程依据地震安全性评价结果进行抗震设防，主要建（构）筑物均达到当地抗震设防要求。</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4.2建立设置</w:t>
            </w:r>
          </w:p>
          <w:p>
            <w:pP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应急避难场所</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结合公园绿地、广场、体育场馆、各类学校等开敞空间以及地下空间等科学布局应急避难场所。</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城市社区按照不低于人均1平方米的标准建立社区应急避难场所，农村社区按照不低于人均2平方米的标准因地制宜设置应急避难场所。</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在应急避难场所、关键路口等醒目位置，设置安全应急标志或指示牌，张贴应急疏散路径示意图。</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4.3社区医疗</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救护站</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依托社区卫生服务机构建立社区医疗救护站，提供急救服务。</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4.4社区微型</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消防站</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社区微型消防站队员由受过基本灭火技能训练的人员等担任，至少3人以上。</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4.5社区消防车  </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通道</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建筑之间不违章搭建（构）筑物，不占用防火间距、消防车作业场地，不设置遮挡排烟窗（口）或影响消防扑救的障碍物。</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auto" w:sz="4"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4.6灾害事故</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预警信息发布</w:t>
            </w:r>
          </w:p>
        </w:tc>
        <w:tc>
          <w:tcPr>
            <w:tcW w:w="4992" w:type="dxa"/>
            <w:tcBorders>
              <w:top w:val="single" w:color="000000" w:sz="6" w:space="0"/>
              <w:left w:val="single" w:color="000000" w:sz="6" w:space="0"/>
              <w:bottom w:val="single" w:color="auto" w:sz="4"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社区灾害事故预警系统正常运转，预警信息在短时间内覆盖全体居民，覆盖率100%。</w:t>
            </w:r>
          </w:p>
        </w:tc>
        <w:tc>
          <w:tcPr>
            <w:tcW w:w="876" w:type="dxa"/>
            <w:tcBorders>
              <w:top w:val="single" w:color="000000" w:sz="6" w:space="0"/>
              <w:left w:val="single" w:color="000000" w:sz="6" w:space="0"/>
              <w:bottom w:val="single" w:color="auto" w:sz="4"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auto" w:sz="4"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right w:val="single" w:color="000000" w:sz="6" w:space="0"/>
            </w:tcBorders>
            <w:vAlign w:val="center"/>
          </w:tcPr>
          <w:p>
            <w:pPr>
              <w:numPr>
                <w:ilvl w:val="0"/>
                <w:numId w:val="2"/>
              </w:num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w:t>
            </w:r>
          </w:p>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物资保障</w:t>
            </w:r>
          </w:p>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5.1应急物资</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储备点</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社区应急物资储备点备有救援、通信、照明等工具和设备，并做好日常管理维护和更新。</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left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5.2应急物资</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社会储备机制</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与社区内及邻近超市、企业等合作开展救灾应急物资协议储备。</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left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5.3家庭储备</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鼓励和引导居民家庭储备必要的应急物品，推广使用家庭应急包。</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left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5.4消防设施</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各类建筑依据国家消防技术标准。</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消防设施设备配备和完好率100%。</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bottom w:val="single" w:color="000000" w:sz="6" w:space="0"/>
              <w:right w:val="single" w:color="000000" w:sz="6" w:space="0"/>
            </w:tcBorders>
            <w:vAlign w:val="center"/>
          </w:tcPr>
          <w:p>
            <w:pPr>
              <w:numPr>
                <w:ilvl w:val="0"/>
                <w:numId w:val="2"/>
              </w:num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力量建设</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6.1社区综合</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应急队伍</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社区综合应急队伍配有适合当地灾害救援特点的救援装备。</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6.2社会力量</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与社区邻近消防救援队伍建立联动机制，积极引导至少1个社会组织参与社区综合减灾工作。</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6.3灾害信息员</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社区灾害信息员及时报送灾害事故等应急信息，并经常参加各类培训，每年参加培训次数不少于2次。</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6.4志愿者队伍</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有参与综合减灾工作的志愿者队伍，人数在10人以上。</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6.5辖区企事业 </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辖区内学校、医院、工贸企业、商场等企事业单位积极组织开展综合减灾活动，并主动参与社区活动。</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辖区内有关企事业单位建有应急救援组织。生产经营规模小的，有兼职应急救援人员。</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7.预案编制与演练（10分）</w:t>
            </w: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7.1社区预案</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应急预案适应社区特点，操作性强。</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预案中明确小组分工、预警信息发布方式和渠道，以及明确应急避难场所分布、应急疏散路径等。 </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预案中明确社区所有人员联系方式以及结对帮扶责任分工，明确在社区封闭化管理后的特殊保障措施。</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7.2辖区单位</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预案</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辖区内生产经营单位组织制定并实施本单位的生产安全事故应急预案，并及时更新。</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7.3预案演练</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做好充分的演练准备，明确演练重点检验内容。每个季度至少有一次演练。</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积极吸纳社区居民、社区内企事业单位、社会组织和志愿者等广泛参与。参与率30%以上。</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7.4预案修订</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根据社区灾害事故风险变化、社区实际以及应急演练中发现的问题，每年修订一次应急预案。</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8.宣传</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教育</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8.1科普宣传</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教育场地</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定期向社会开放科普宣传教育场地，为不同社会群体提供科普宣传教育服务。</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鼓励有条件的社区建设综合减灾科普宣传教育基地或应急体验馆。</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8.2经常性科普  </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宣传教育</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设置防灾减灾科普宣传教育专区，张贴防灾减灾宣传挂图。</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8.3综合减灾</w:t>
            </w:r>
          </w:p>
          <w:p>
            <w:pPr>
              <w:snapToGrid w:val="0"/>
              <w:ind w:firstLine="720" w:firstLineChars="3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培训</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定期开展综合减灾培训，发放社区和家庭应急指导手册。每个季度至少开展一次。</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8.4大型科普</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宣传教育活动</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防灾减灾大型科普宣传教育活动中，社区居民参与率25%以上。</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8.5辖区内企业</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公众开放日</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鼓励辖区内企业开展“公众开放日”活动，邀请社区居民走进企业。</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9.创建</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特色</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9.1宣传教育</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特色</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科普宣传教育具有当地特色，能充分调动社区居民参与社区综合减灾工作。</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9.2高新技术</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应用</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推进智慧社区建设，应用物联网、云计算、人工智能、5G、大数据等新技术，提升社区应急管理能力。</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9.3预警信息</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共享</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各类灾害事故监测预警和应急指挥系统实现互联互通，具有较高的信息化水平。</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9.4整合辖区</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资源</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整合社区资源，与高校、科研院所、科技企业等开展防灾减灾领域的合作，取得明显效果。</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9.5成功</w:t>
            </w:r>
          </w:p>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经验和做法</w:t>
            </w: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在突发事件应对处置方面，有成功的案例做法。</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1394"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1956"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p>
        </w:tc>
        <w:tc>
          <w:tcPr>
            <w:tcW w:w="4992" w:type="dxa"/>
            <w:tcBorders>
              <w:top w:val="single" w:color="000000" w:sz="6" w:space="0"/>
              <w:left w:val="single" w:color="000000" w:sz="6" w:space="0"/>
              <w:bottom w:val="single" w:color="000000" w:sz="6" w:space="0"/>
              <w:right w:val="single" w:color="000000" w:sz="6" w:space="0"/>
            </w:tcBorders>
            <w:vAlign w:val="center"/>
          </w:tcPr>
          <w:p>
            <w:pPr>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有其他独到的经验做法，具有一定示范意义。</w:t>
            </w:r>
          </w:p>
        </w:tc>
        <w:tc>
          <w:tcPr>
            <w:tcW w:w="876"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2" w:type="dxa"/>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rPr>
                <w:rFonts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jc w:val="center"/>
        </w:trPr>
        <w:tc>
          <w:tcPr>
            <w:tcW w:w="8342" w:type="dxa"/>
            <w:gridSpan w:val="3"/>
            <w:tcBorders>
              <w:top w:val="single" w:color="000000" w:sz="6" w:space="0"/>
              <w:left w:val="single" w:color="000000" w:sz="6" w:space="0"/>
              <w:bottom w:val="single" w:color="000000" w:sz="6" w:space="0"/>
              <w:right w:val="single" w:color="000000" w:sz="6" w:space="0"/>
            </w:tcBorders>
            <w:vAlign w:val="center"/>
          </w:tcPr>
          <w:p>
            <w:pPr>
              <w:pBdr>
                <w:top w:val="none" w:color="000000" w:sz="0" w:space="0"/>
                <w:left w:val="none" w:color="000000" w:sz="0" w:space="0"/>
                <w:bottom w:val="none" w:color="000000" w:sz="0" w:space="0"/>
                <w:right w:val="none" w:color="000000" w:sz="0" w:space="0"/>
              </w:pBdr>
              <w:autoSpaceDN w:val="0"/>
              <w:snapToGrid w:val="0"/>
              <w:jc w:val="center"/>
              <w:rPr>
                <w:rFonts w:ascii="方正仿宋_GBK" w:hAnsi="宋体" w:eastAsia="方正仿宋_GBK"/>
                <w:color w:val="auto"/>
                <w:sz w:val="24"/>
                <w:szCs w:val="24"/>
              </w:rPr>
            </w:pPr>
            <w:r>
              <w:rPr>
                <w:rFonts w:hint="eastAsia" w:ascii="方正黑体_GBK" w:hAnsi="方正黑体_GBK" w:eastAsia="方正黑体_GBK" w:cs="方正黑体_GBK"/>
                <w:color w:val="auto"/>
                <w:sz w:val="24"/>
                <w:szCs w:val="24"/>
              </w:rPr>
              <w:t>总  分</w:t>
            </w:r>
          </w:p>
        </w:tc>
        <w:tc>
          <w:tcPr>
            <w:tcW w:w="1608" w:type="dxa"/>
            <w:gridSpan w:val="2"/>
            <w:tcBorders>
              <w:top w:val="single" w:color="000000" w:sz="6" w:space="0"/>
              <w:left w:val="single" w:color="000000" w:sz="6" w:space="0"/>
              <w:bottom w:val="single" w:color="000000" w:sz="6" w:space="0"/>
              <w:right w:val="single" w:color="000000" w:sz="6" w:space="0"/>
            </w:tcBorders>
          </w:tcPr>
          <w:p>
            <w:pPr>
              <w:pBdr>
                <w:top w:val="none" w:color="000000" w:sz="0" w:space="0"/>
                <w:left w:val="none" w:color="000000" w:sz="0" w:space="0"/>
                <w:bottom w:val="none" w:color="000000" w:sz="0" w:space="0"/>
                <w:right w:val="none" w:color="000000" w:sz="0" w:space="0"/>
              </w:pBdr>
              <w:autoSpaceDN w:val="0"/>
              <w:snapToGrid w:val="0"/>
              <w:rPr>
                <w:rFonts w:ascii="方正仿宋_GBK" w:hAnsi="宋体" w:eastAsia="方正仿宋_GBK"/>
                <w:color w:val="auto"/>
                <w:sz w:val="24"/>
                <w:szCs w:val="24"/>
              </w:rPr>
            </w:pPr>
          </w:p>
        </w:tc>
      </w:tr>
    </w:tbl>
    <w:p>
      <w:pPr>
        <w:widowControl/>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br w:type="page"/>
      </w:r>
    </w:p>
    <w:p>
      <w:pPr>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附件2：</w:t>
      </w:r>
    </w:p>
    <w:p>
      <w:pPr>
        <w:jc w:val="center"/>
        <w:rPr>
          <w:rFonts w:ascii="Times New Roman" w:hAnsi="Times New Roman" w:eastAsia="华文中宋" w:cs="Times New Roman"/>
          <w:color w:val="auto"/>
          <w:sz w:val="32"/>
          <w:szCs w:val="32"/>
        </w:rPr>
      </w:pPr>
      <w:r>
        <w:rPr>
          <w:rFonts w:ascii="Times New Roman" w:hAnsi="Times New Roman" w:eastAsia="华文中宋" w:cs="Times New Roman"/>
          <w:color w:val="auto"/>
          <w:sz w:val="32"/>
          <w:szCs w:val="32"/>
        </w:rPr>
        <w:t>联系人回执</w:t>
      </w:r>
    </w:p>
    <w:tbl>
      <w:tblPr>
        <w:tblStyle w:val="11"/>
        <w:tblW w:w="102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18"/>
        <w:gridCol w:w="2446"/>
        <w:gridCol w:w="1606"/>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918" w:type="dxa"/>
          </w:tcPr>
          <w:p>
            <w:pPr>
              <w:jc w:val="center"/>
              <w:rPr>
                <w:rFonts w:ascii="Times New Roman" w:hAnsi="Times New Roman" w:cs="Times New Roman"/>
                <w:color w:val="auto"/>
                <w:sz w:val="32"/>
                <w:szCs w:val="32"/>
              </w:rPr>
            </w:pPr>
            <w:r>
              <w:rPr>
                <w:rFonts w:ascii="Times New Roman" w:hAnsi="Times New Roman" w:cs="Times New Roman"/>
                <w:color w:val="auto"/>
                <w:sz w:val="32"/>
                <w:szCs w:val="32"/>
              </w:rPr>
              <w:t>姓名</w:t>
            </w:r>
          </w:p>
        </w:tc>
        <w:tc>
          <w:tcPr>
            <w:tcW w:w="2446" w:type="dxa"/>
          </w:tcPr>
          <w:p>
            <w:pPr>
              <w:jc w:val="center"/>
              <w:rPr>
                <w:rFonts w:ascii="Times New Roman" w:hAnsi="Times New Roman" w:cs="Times New Roman"/>
                <w:color w:val="auto"/>
                <w:sz w:val="32"/>
                <w:szCs w:val="32"/>
              </w:rPr>
            </w:pPr>
            <w:r>
              <w:rPr>
                <w:rFonts w:ascii="Times New Roman" w:hAnsi="Times New Roman" w:cs="Times New Roman"/>
                <w:color w:val="auto"/>
                <w:sz w:val="32"/>
                <w:szCs w:val="32"/>
              </w:rPr>
              <w:t>单位</w:t>
            </w:r>
          </w:p>
        </w:tc>
        <w:tc>
          <w:tcPr>
            <w:tcW w:w="1606" w:type="dxa"/>
          </w:tcPr>
          <w:p>
            <w:pPr>
              <w:jc w:val="center"/>
              <w:rPr>
                <w:rFonts w:ascii="Times New Roman" w:hAnsi="Times New Roman" w:cs="Times New Roman"/>
                <w:color w:val="auto"/>
                <w:sz w:val="32"/>
                <w:szCs w:val="32"/>
              </w:rPr>
            </w:pPr>
            <w:r>
              <w:rPr>
                <w:rFonts w:ascii="Times New Roman" w:hAnsi="Times New Roman" w:cs="Times New Roman"/>
                <w:color w:val="auto"/>
                <w:sz w:val="32"/>
                <w:szCs w:val="32"/>
              </w:rPr>
              <w:t>职务</w:t>
            </w:r>
          </w:p>
        </w:tc>
        <w:tc>
          <w:tcPr>
            <w:tcW w:w="2131" w:type="dxa"/>
          </w:tcPr>
          <w:p>
            <w:pPr>
              <w:jc w:val="center"/>
              <w:rPr>
                <w:rFonts w:ascii="Times New Roman" w:hAnsi="Times New Roman" w:cs="Times New Roman"/>
                <w:color w:val="auto"/>
                <w:sz w:val="32"/>
                <w:szCs w:val="32"/>
              </w:rPr>
            </w:pPr>
            <w:r>
              <w:rPr>
                <w:rFonts w:ascii="Times New Roman" w:hAnsi="Times New Roman" w:cs="Times New Roman"/>
                <w:color w:val="auto"/>
                <w:sz w:val="32"/>
                <w:szCs w:val="32"/>
              </w:rPr>
              <w:t>联系电话</w:t>
            </w:r>
          </w:p>
        </w:tc>
        <w:tc>
          <w:tcPr>
            <w:tcW w:w="2131" w:type="dxa"/>
          </w:tcPr>
          <w:p>
            <w:pPr>
              <w:jc w:val="center"/>
              <w:rPr>
                <w:rFonts w:ascii="Times New Roman" w:hAnsi="Times New Roman" w:cs="Times New Roman"/>
                <w:color w:val="auto"/>
                <w:sz w:val="32"/>
                <w:szCs w:val="32"/>
              </w:rPr>
            </w:pPr>
            <w:r>
              <w:rPr>
                <w:rFonts w:ascii="Times New Roman" w:hAnsi="Times New Roman" w:cs="Times New Roman"/>
                <w:color w:val="auto"/>
                <w:sz w:val="32"/>
                <w:szCs w:val="32"/>
              </w:rPr>
              <w:t>手机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918" w:type="dxa"/>
          </w:tcPr>
          <w:p>
            <w:pPr>
              <w:jc w:val="center"/>
              <w:rPr>
                <w:rFonts w:ascii="Times New Roman" w:hAnsi="Times New Roman" w:cs="Times New Roman"/>
                <w:color w:val="auto"/>
                <w:sz w:val="32"/>
                <w:szCs w:val="32"/>
              </w:rPr>
            </w:pPr>
          </w:p>
        </w:tc>
        <w:tc>
          <w:tcPr>
            <w:tcW w:w="2446" w:type="dxa"/>
          </w:tcPr>
          <w:p>
            <w:pPr>
              <w:jc w:val="center"/>
              <w:rPr>
                <w:rFonts w:ascii="Times New Roman" w:hAnsi="Times New Roman" w:cs="Times New Roman"/>
                <w:color w:val="auto"/>
                <w:sz w:val="32"/>
                <w:szCs w:val="32"/>
              </w:rPr>
            </w:pPr>
          </w:p>
        </w:tc>
        <w:tc>
          <w:tcPr>
            <w:tcW w:w="1606" w:type="dxa"/>
          </w:tcPr>
          <w:p>
            <w:pPr>
              <w:jc w:val="center"/>
              <w:rPr>
                <w:rFonts w:ascii="Times New Roman" w:hAnsi="Times New Roman" w:cs="Times New Roman"/>
                <w:color w:val="auto"/>
                <w:sz w:val="32"/>
                <w:szCs w:val="32"/>
              </w:rPr>
            </w:pPr>
          </w:p>
        </w:tc>
        <w:tc>
          <w:tcPr>
            <w:tcW w:w="2131" w:type="dxa"/>
          </w:tcPr>
          <w:p>
            <w:pPr>
              <w:jc w:val="center"/>
              <w:rPr>
                <w:rFonts w:ascii="Times New Roman" w:hAnsi="Times New Roman" w:cs="Times New Roman"/>
                <w:color w:val="auto"/>
                <w:sz w:val="32"/>
                <w:szCs w:val="32"/>
              </w:rPr>
            </w:pPr>
          </w:p>
        </w:tc>
        <w:tc>
          <w:tcPr>
            <w:tcW w:w="2131" w:type="dxa"/>
          </w:tcPr>
          <w:p>
            <w:pPr>
              <w:jc w:val="center"/>
              <w:rPr>
                <w:rFonts w:ascii="Times New Roman" w:hAnsi="Times New Roman" w:cs="Times New Roman"/>
                <w:color w:val="auto"/>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918" w:type="dxa"/>
          </w:tcPr>
          <w:p>
            <w:pPr>
              <w:jc w:val="center"/>
              <w:rPr>
                <w:rFonts w:ascii="Times New Roman" w:hAnsi="Times New Roman" w:cs="Times New Roman"/>
                <w:color w:val="auto"/>
                <w:sz w:val="32"/>
                <w:szCs w:val="32"/>
              </w:rPr>
            </w:pPr>
          </w:p>
        </w:tc>
        <w:tc>
          <w:tcPr>
            <w:tcW w:w="2446" w:type="dxa"/>
          </w:tcPr>
          <w:p>
            <w:pPr>
              <w:jc w:val="center"/>
              <w:rPr>
                <w:rFonts w:ascii="Times New Roman" w:hAnsi="Times New Roman" w:cs="Times New Roman"/>
                <w:color w:val="auto"/>
                <w:sz w:val="32"/>
                <w:szCs w:val="32"/>
              </w:rPr>
            </w:pPr>
          </w:p>
        </w:tc>
        <w:tc>
          <w:tcPr>
            <w:tcW w:w="1606" w:type="dxa"/>
          </w:tcPr>
          <w:p>
            <w:pPr>
              <w:jc w:val="center"/>
              <w:rPr>
                <w:rFonts w:ascii="Times New Roman" w:hAnsi="Times New Roman" w:cs="Times New Roman"/>
                <w:color w:val="auto"/>
                <w:sz w:val="32"/>
                <w:szCs w:val="32"/>
              </w:rPr>
            </w:pPr>
          </w:p>
        </w:tc>
        <w:tc>
          <w:tcPr>
            <w:tcW w:w="2131" w:type="dxa"/>
          </w:tcPr>
          <w:p>
            <w:pPr>
              <w:jc w:val="center"/>
              <w:rPr>
                <w:rFonts w:ascii="Times New Roman" w:hAnsi="Times New Roman" w:cs="Times New Roman"/>
                <w:color w:val="auto"/>
                <w:sz w:val="32"/>
                <w:szCs w:val="32"/>
              </w:rPr>
            </w:pPr>
          </w:p>
        </w:tc>
        <w:tc>
          <w:tcPr>
            <w:tcW w:w="2131" w:type="dxa"/>
          </w:tcPr>
          <w:p>
            <w:pPr>
              <w:jc w:val="center"/>
              <w:rPr>
                <w:rFonts w:ascii="Times New Roman" w:hAnsi="Times New Roman" w:cs="Times New Roman"/>
                <w:color w:val="auto"/>
                <w:sz w:val="32"/>
                <w:szCs w:val="32"/>
              </w:rPr>
            </w:pP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outlineLvl w:val="9"/>
        <w:rPr>
          <w:rFonts w:hint="eastAsia" w:ascii="仿宋_GB2312" w:hAnsi="仿宋_GB2312" w:eastAsia="仿宋_GB2312" w:cs="仿宋_GB2312"/>
          <w:color w:val="auto"/>
          <w:sz w:val="32"/>
          <w:szCs w:val="32"/>
          <w:lang w:val="en-US" w:eastAsia="zh-CN"/>
        </w:rPr>
      </w:pPr>
    </w:p>
    <w:p>
      <w:pPr>
        <w:tabs>
          <w:tab w:val="left" w:pos="2552"/>
          <w:tab w:val="left" w:pos="8647"/>
        </w:tabs>
        <w:spacing w:line="480" w:lineRule="exact"/>
        <w:ind w:right="-111" w:rightChars="-53"/>
        <w:jc w:val="left"/>
        <w:rPr>
          <w:rFonts w:ascii="Times New Roman" w:hAnsi="Times New Roman" w:eastAsia="仿宋_GB2312" w:cs="仿宋_GB2312"/>
          <w:color w:val="auto"/>
          <w:sz w:val="28"/>
          <w:szCs w:val="28"/>
        </w:rPr>
      </w:pPr>
      <w:bookmarkStart w:id="0" w:name="_GoBack"/>
      <w:bookmarkEnd w:id="0"/>
    </w:p>
    <w:sectPr>
      <w:headerReference r:id="rId3" w:type="default"/>
      <w:footerReference r:id="rId4" w:type="default"/>
      <w:pgSz w:w="11906" w:h="16838"/>
      <w:pgMar w:top="2098" w:right="1474" w:bottom="1871"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黑体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Theme="minorEastAsia"/>
                              <w:lang w:eastAsia="zh-CN"/>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94"/>
      </w:tabs>
      <w:jc w:val="left"/>
      <w:rPr>
        <w:rFonts w:hint="eastAsia" w:eastAsiaTheme="minor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6D257"/>
    <w:multiLevelType w:val="singleLevel"/>
    <w:tmpl w:val="5596D257"/>
    <w:lvl w:ilvl="0" w:tentative="0">
      <w:start w:val="1"/>
      <w:numFmt w:val="decimal"/>
      <w:lvlText w:val="%1."/>
      <w:lvlJc w:val="left"/>
      <w:pPr>
        <w:tabs>
          <w:tab w:val="left" w:pos="312"/>
        </w:tabs>
      </w:pPr>
    </w:lvl>
  </w:abstractNum>
  <w:abstractNum w:abstractNumId="1">
    <w:nsid w:val="70316100"/>
    <w:multiLevelType w:val="multilevel"/>
    <w:tmpl w:val="7031610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D8"/>
    <w:rsid w:val="0001497F"/>
    <w:rsid w:val="000234C5"/>
    <w:rsid w:val="00035B05"/>
    <w:rsid w:val="00074463"/>
    <w:rsid w:val="00086683"/>
    <w:rsid w:val="000926F3"/>
    <w:rsid w:val="000E0AFA"/>
    <w:rsid w:val="000E1084"/>
    <w:rsid w:val="000F5D45"/>
    <w:rsid w:val="000F65A3"/>
    <w:rsid w:val="001233E7"/>
    <w:rsid w:val="001255A2"/>
    <w:rsid w:val="002003D9"/>
    <w:rsid w:val="00261A57"/>
    <w:rsid w:val="00293C28"/>
    <w:rsid w:val="00297B7D"/>
    <w:rsid w:val="002B0836"/>
    <w:rsid w:val="00342DFF"/>
    <w:rsid w:val="00350E11"/>
    <w:rsid w:val="003F7E26"/>
    <w:rsid w:val="00423CA0"/>
    <w:rsid w:val="004378CB"/>
    <w:rsid w:val="004567ED"/>
    <w:rsid w:val="00470DFF"/>
    <w:rsid w:val="00642398"/>
    <w:rsid w:val="006B5CE0"/>
    <w:rsid w:val="007806D6"/>
    <w:rsid w:val="00780B05"/>
    <w:rsid w:val="007C6A6B"/>
    <w:rsid w:val="007D7707"/>
    <w:rsid w:val="00801133"/>
    <w:rsid w:val="00802CEA"/>
    <w:rsid w:val="0089153E"/>
    <w:rsid w:val="008A4565"/>
    <w:rsid w:val="008D459D"/>
    <w:rsid w:val="00941D9B"/>
    <w:rsid w:val="00980FF5"/>
    <w:rsid w:val="009B324E"/>
    <w:rsid w:val="009E4EEC"/>
    <w:rsid w:val="00A44526"/>
    <w:rsid w:val="00A52272"/>
    <w:rsid w:val="00A54637"/>
    <w:rsid w:val="00A74879"/>
    <w:rsid w:val="00AB54BE"/>
    <w:rsid w:val="00BB3FF0"/>
    <w:rsid w:val="00BF3149"/>
    <w:rsid w:val="00C34AB2"/>
    <w:rsid w:val="00C50710"/>
    <w:rsid w:val="00C96889"/>
    <w:rsid w:val="00CC7AC9"/>
    <w:rsid w:val="00CE1270"/>
    <w:rsid w:val="00D23601"/>
    <w:rsid w:val="00D645B5"/>
    <w:rsid w:val="00D712FD"/>
    <w:rsid w:val="00E13A1F"/>
    <w:rsid w:val="00E3566F"/>
    <w:rsid w:val="00E51D9A"/>
    <w:rsid w:val="00E65051"/>
    <w:rsid w:val="00F266D6"/>
    <w:rsid w:val="00F802E3"/>
    <w:rsid w:val="00FF7BF5"/>
    <w:rsid w:val="036E74C8"/>
    <w:rsid w:val="04FA4278"/>
    <w:rsid w:val="0856303B"/>
    <w:rsid w:val="0AAF30D4"/>
    <w:rsid w:val="0B476006"/>
    <w:rsid w:val="0EA64F55"/>
    <w:rsid w:val="115E6A7D"/>
    <w:rsid w:val="14EB53B8"/>
    <w:rsid w:val="150503C8"/>
    <w:rsid w:val="18D46B24"/>
    <w:rsid w:val="1A787B54"/>
    <w:rsid w:val="1B3B01F4"/>
    <w:rsid w:val="1B7F5AD1"/>
    <w:rsid w:val="1EFD6E2E"/>
    <w:rsid w:val="20A94AFF"/>
    <w:rsid w:val="211D74DC"/>
    <w:rsid w:val="27AE6480"/>
    <w:rsid w:val="291762AA"/>
    <w:rsid w:val="2D7A0E9D"/>
    <w:rsid w:val="3299047C"/>
    <w:rsid w:val="340906E5"/>
    <w:rsid w:val="3517715C"/>
    <w:rsid w:val="364C60CA"/>
    <w:rsid w:val="38EF2EB0"/>
    <w:rsid w:val="3A2E7DB7"/>
    <w:rsid w:val="3B6A117C"/>
    <w:rsid w:val="46F262F0"/>
    <w:rsid w:val="48666AFD"/>
    <w:rsid w:val="4A6B419D"/>
    <w:rsid w:val="53791DD5"/>
    <w:rsid w:val="54385DD7"/>
    <w:rsid w:val="56E418D1"/>
    <w:rsid w:val="582C0218"/>
    <w:rsid w:val="5C4429A7"/>
    <w:rsid w:val="5CA8032A"/>
    <w:rsid w:val="6835189A"/>
    <w:rsid w:val="689C21B8"/>
    <w:rsid w:val="6B0A7398"/>
    <w:rsid w:val="6BBC6FF9"/>
    <w:rsid w:val="70246A5C"/>
    <w:rsid w:val="721E5EDB"/>
    <w:rsid w:val="74E644E0"/>
    <w:rsid w:val="75C605CD"/>
    <w:rsid w:val="780A1010"/>
    <w:rsid w:val="7A2B728A"/>
    <w:rsid w:val="7C515B10"/>
    <w:rsid w:val="7DF9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outlineLvl w:val="1"/>
    </w:pPr>
    <w:rPr>
      <w:rFonts w:ascii="楷体_GB2312" w:hAnsi="楷体_GB2312" w:eastAsia="楷体_GB2312"/>
      <w:b/>
      <w:bCs/>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7">
    <w:name w:val="Title"/>
    <w:basedOn w:val="1"/>
    <w:next w:val="1"/>
    <w:qFormat/>
    <w:uiPriority w:val="10"/>
    <w:pPr>
      <w:adjustRightInd w:val="0"/>
      <w:snapToGrid w:val="0"/>
      <w:spacing w:after="560"/>
      <w:ind w:firstLine="0" w:firstLineChars="0"/>
      <w:jc w:val="center"/>
      <w:outlineLvl w:val="0"/>
    </w:pPr>
    <w:rPr>
      <w:rFonts w:eastAsia="方正小标宋简体"/>
      <w:bCs/>
      <w:sz w:val="44"/>
      <w:szCs w:val="32"/>
    </w:rPr>
  </w:style>
  <w:style w:type="character" w:styleId="9">
    <w:name w:val="page number"/>
    <w:basedOn w:val="8"/>
    <w:qFormat/>
    <w:uiPriority w:val="0"/>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标题 1 Char"/>
    <w:link w:val="2"/>
    <w:qFormat/>
    <w:uiPriority w:val="0"/>
    <w:rPr>
      <w:b/>
      <w:kern w:val="44"/>
      <w:sz w:val="44"/>
    </w:rPr>
  </w:style>
  <w:style w:type="paragraph" w:styleId="15">
    <w:name w:val="List Paragraph"/>
    <w:basedOn w:val="1"/>
    <w:qFormat/>
    <w:uiPriority w:val="34"/>
    <w:pPr>
      <w:ind w:firstLine="42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789</Characters>
  <Lines>6</Lines>
  <Paragraphs>1</Paragraphs>
  <TotalTime>7</TotalTime>
  <ScaleCrop>false</ScaleCrop>
  <LinksUpToDate>false</LinksUpToDate>
  <CharactersWithSpaces>926</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2020-02-04T05:39:00Z</dcterms:created>
  <dc:creator>微软用户</dc:creator>
  <cp:lastModifiedBy>chp</cp:lastModifiedBy>
  <cp:lastPrinted>2020-02-04T07:53:00Z</cp:lastPrinted>
  <dcterms:modified xsi:type="dcterms:W3CDTF">2020-06-09T04:47:57Z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