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楷体" w:eastAsia="黑体" w:cs="楷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楷体" w:eastAsia="黑体" w:cs="楷体"/>
          <w:bCs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2020年局政务公开目标任务细化分解表</w:t>
      </w:r>
    </w:p>
    <w:tbl>
      <w:tblPr>
        <w:tblStyle w:val="7"/>
        <w:tblW w:w="13931" w:type="dxa"/>
        <w:jc w:val="center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950"/>
        <w:gridCol w:w="1336"/>
        <w:gridCol w:w="212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任务内容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责任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通过线上线下多种渠道，对新修订的《上海市政府信息公开规定》组织开展专题宣传活动。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新规出台后1个月内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及时做好本单位信息公开配套制度的修订和完善，并按照区政府办公室统一部署，抓好有关人员学习培训和新增要求的组织落实工作。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新规出台后1个月内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规范编制本单位政府信息公开指南。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按照统一格式、法定时限发布和报送工作年报。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建立健全本单位政府信息公开申请登记、审核、办理、答复、归档的工作制度。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规范依申请公开办理工作全过程记录。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进一步完善依申请公开转主动公开机制。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对照《政府信息公开条例》规定的法定主动公开内容，结合标准化工作和业务实际，确定主动公开具体内容，编制政府信息主动公开目录，通过区政府政府信息公开平台向社会集中发布。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完成对本单位2010年以来未进行公开属性认定和公开属性定为依申请公开、不予公开的政府公文开展公开属性重新审查工作。对已具备主动公开条件的公文类信息予以转化公开。有条件的单位可同步开展针对非公文类政府信息的梳理转化工作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本区OA系统和网站系统与上海市政务公开平台的对接工作完成后，除涉密和党委公文外，其余公文一律进行备案。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严格落实政策文件与解读材料同步起草、同步审签、同步发布制度。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切实提高政策解读的质量，明确重点，着眼稳定社会预期、提振市场信心，多渠道开展权威解读。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推行政策施行后解读，对政策公布后社会的普遍疑虑和争议点，要有针对性地开展深度解读、延伸解读。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积极开展图表图解、视频动漫、流程演示等多元化解读，多元化解读形式占全部解读数量的比例不得低于50%。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进一步完善政务公开、宣传、网信、信访等部门沟通和协调联动机制，综合用好依申请公开、“一网通办”好差评、“12345”市民服务热线、领导信箱、政务微博微信、政府网站留言板等渠道，提高对社会关切热点的发现、搜集和反馈能力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办公室、法制科、社管科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发生重大突发事件时，有关部门要及时发出权威声音，首次回应时间不得超过5个小时，正确引导舆论，维护政府形象和公信力。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凡列入决策事项目录的区政府重大行政政策，应在决策前将决策草案、决策依据上网公开，广泛听取公众意见。根据决策事项类型采取听证座谈、专项听取意见、实地走访等其他形式和渠道专门听取意见。公众意见的收集、采纳情况和较为集中意见未予采纳的原因应在政策出台后10个工作日内向社会公布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制定重要改革方案、重大政策措施及重大民生事项等决策事项时，应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广泛听取意见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根据工作特点和实际，确定不同层级、不同领域的公众参与事项和方式，积极搭建政民互动平台，畅通互动渠道，切实听取企业群众、服务对象的意见和建议。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积极开展政府开放日（年内不少于3次）或政府开放周（年内不少于1次）、网络问政等多种形式的公众参与活动。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同步开展并完成区政府、区政府各委办局、各街镇园区全领域政务公开事项梳理和标准目录编制工作。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主动对接26个试点领域涉及的市政府部门，结合本区实际，确保标准指引在本区的落地实施。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区政府门户网站应开设标准化工作专栏，在公开政务公开事项标准目录的基础上，以超链接方式归集展示试点领域的各项具体信息。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持续优化标准应用，推动公开工作与业务工作深度融合，积极探索高效、便捷的公开方式，提升信息覆盖面、到达率。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对办事服务事项实行清单管理。动态更新基本公共服务项目、全市通办事项、行政许可中介服务事项目录等清单。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全面准确公开各类办事指南。指南应载明全部办事条件和规范格式文本，通俗易读。推动办事指南场景化编制和公开，以企业群众高效办成“一件事”为目标，创新编制“一件事”办事指南，实现“一件事一次告知”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强化办事服务信息精准推送。依托“一网通办”总门户，推行惠企利民政策、办事指南分类主动推送和证照到期、办件进度及时主动提醒，确保服务对象事前准备清晰明了、事中进展实时掌握、事后结果及时获知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进一步细化项目预算公开，继续推进绩效评价结果和报告向社会公开。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做好政府采购、国有产权交易、工程建设项目招投标等公共资源分配事项的信息公开。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集中发布各领域行政执法“双随机、一公开”抽查事项清单，同步做好相关工作机制和配套制度的解读工作。及时公开企业违法违规信息和行政检查结果，接受企业和市民监督。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劳动保障监察大队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全面开展行政许可和行政处罚信用信息“双公示”工作，加大守信联合激励和失信联合惩戒名单的披露公示力度，推进部门间信用信息共享应用，及时公布信用联合奖惩典型案例。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劳动保障监察大队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强化市、区政务公开工作平台日常使用，推动公开工作全过程管理和监督。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形成主要领导亲自主抓、分管领导具体负责的领导体制，主要领导年内至少听取一次政务公开工作汇报，部署推进工作。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各单位、各科室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5" w:leftChars="0" w:hanging="425" w:firstLineChars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根据本工作要点，结合实际，制订本单位年度政务公开工作计划，细化目标任务，明确时间节点。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法制科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2020.4</w:t>
            </w:r>
          </w:p>
        </w:tc>
      </w:tr>
    </w:tbl>
    <w:p/>
    <w:p>
      <w:pPr>
        <w:spacing w:line="360" w:lineRule="exact"/>
        <w:jc w:val="center"/>
        <w:rPr>
          <w:rFonts w:ascii="黑体" w:hAnsi="黑体" w:eastAsia="黑体"/>
          <w:b/>
          <w:sz w:val="28"/>
          <w:szCs w:val="28"/>
        </w:rPr>
        <w:sectPr>
          <w:footerReference r:id="rId3" w:type="default"/>
          <w:pgSz w:w="16838" w:h="11906" w:orient="landscape"/>
          <w:pgMar w:top="1587" w:right="2098" w:bottom="1474" w:left="1871" w:header="851" w:footer="992" w:gutter="0"/>
          <w:paperSrc/>
          <w:cols w:space="0" w:num="1"/>
          <w:rtlGutter w:val="0"/>
          <w:docGrid w:type="lines" w:linePitch="315" w:charSpace="0"/>
        </w:sect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pacing w:val="-8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22925" cy="0"/>
                <wp:effectExtent l="0" t="0" r="15875" b="19050"/>
                <wp:wrapNone/>
                <wp:docPr id="1" name="Lin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7" o:spid="_x0000_s1026" o:spt="20" style="position:absolute;left:0pt;margin-left:0pt;margin-top:2.25pt;height:0pt;width:442.75pt;z-index:251661312;mso-width-relative:page;mso-height-relative:page;" filled="f" stroked="t" coordsize="21600,21600" o:gfxdata="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11Sl0wAAAAQB&#10;AAAPAAAAAAAAAAEAIAAAACIAAABkcnMvZG93bnJldi54bWxQSwECFAAUAAAACACHTuJAHyG4Wq4B&#10;AABT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22925" cy="0"/>
                <wp:effectExtent l="9525" t="6350" r="6350" b="12700"/>
                <wp:wrapNone/>
                <wp:docPr id="2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8" o:spid="_x0000_s1026" o:spt="20" style="position:absolute;left:0pt;margin-left:0pt;margin-top:29pt;height:0pt;width:442.75pt;z-index:251662336;mso-width-relative:page;mso-height-relative:page;" filled="f" stroked="t" coordsize="21600,21600" o:gfxdata="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3hAqtQAAAAG&#10;AQAADwAAAAAAAAABACAAAAAiAAAAZHJzL2Rvd25yZXYueG1sUEsBAhQAFAAAAAgAh07iQJMU7eyu&#10;AQAAUwMAAA4AAAAAAAAAAQAgAAAAIw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上海市宝山区人力资源和社会保障局办公室      2020年5月12日印发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 xml:space="preserve">                                                     （共印20份</w:t>
      </w:r>
      <w:r>
        <w:rPr>
          <w:rFonts w:hint="eastAsia" w:eastAsia="仿宋_GB2312"/>
          <w:spacing w:val="-8"/>
          <w:sz w:val="28"/>
          <w:szCs w:val="28"/>
        </w:rPr>
        <w:t>）</w:t>
      </w:r>
    </w:p>
    <w:sectPr>
      <w:footerReference r:id="rId4" w:type="default"/>
      <w:pgSz w:w="16838" w:h="11906" w:orient="landscape"/>
      <w:pgMar w:top="1587" w:right="2098" w:bottom="1474" w:left="187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Style w:val="5"/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E1636"/>
    <w:multiLevelType w:val="singleLevel"/>
    <w:tmpl w:val="8B1E163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B"/>
    <w:rsid w:val="000133B9"/>
    <w:rsid w:val="001A654B"/>
    <w:rsid w:val="001B1D53"/>
    <w:rsid w:val="0032228B"/>
    <w:rsid w:val="006B1F76"/>
    <w:rsid w:val="006B73F3"/>
    <w:rsid w:val="00923255"/>
    <w:rsid w:val="00C629B9"/>
    <w:rsid w:val="00C72C26"/>
    <w:rsid w:val="00D46A92"/>
    <w:rsid w:val="00E251EF"/>
    <w:rsid w:val="00E6312A"/>
    <w:rsid w:val="00E96086"/>
    <w:rsid w:val="00FA159D"/>
    <w:rsid w:val="00FA218A"/>
    <w:rsid w:val="00FE2269"/>
    <w:rsid w:val="026F2F8D"/>
    <w:rsid w:val="301228F5"/>
    <w:rsid w:val="35B7524E"/>
    <w:rsid w:val="680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D523F-411C-49C0-B4B8-DDCB0DD27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1154</Words>
  <Characters>6584</Characters>
  <Lines>54</Lines>
  <Paragraphs>15</Paragraphs>
  <TotalTime>7</TotalTime>
  <ScaleCrop>false</ScaleCrop>
  <LinksUpToDate>false</LinksUpToDate>
  <CharactersWithSpaces>7723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2020-05-12T07:54:00Z</dcterms:created>
  <dc:creator>十三五规划办公室(十三五规划办公室:返回接收人)</dc:creator>
  <cp:lastModifiedBy>Administrator</cp:lastModifiedBy>
  <cp:lastPrinted>2020-05-13T00:41:00Z</cp:lastPrinted>
  <dcterms:modified xsi:type="dcterms:W3CDTF">2020-05-29T04:58:10Z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