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b/>
          <w:bCs/>
          <w:color w:val="FF0000"/>
          <w:w w:val="80"/>
          <w:sz w:val="72"/>
        </w:rPr>
      </w:pPr>
      <w:r>
        <w:rPr>
          <w:rFonts w:hint="eastAsia"/>
          <w:b/>
          <w:bCs/>
          <w:color w:val="FF0000"/>
          <w:w w:val="80"/>
          <w:sz w:val="72"/>
        </w:rPr>
        <w:t>上海市宝山区农业</w:t>
      </w:r>
      <w:r>
        <w:rPr>
          <w:rFonts w:hint="eastAsia"/>
          <w:b/>
          <w:bCs/>
          <w:color w:val="FF0000"/>
          <w:w w:val="80"/>
          <w:sz w:val="72"/>
          <w:lang w:eastAsia="zh-CN"/>
        </w:rPr>
        <w:t>农村</w:t>
      </w:r>
      <w:r>
        <w:rPr>
          <w:rFonts w:hint="eastAsia"/>
          <w:b/>
          <w:bCs/>
          <w:color w:val="FF0000"/>
          <w:w w:val="80"/>
          <w:sz w:val="72"/>
        </w:rPr>
        <w:t>委员会</w:t>
      </w:r>
    </w:p>
    <w:p>
      <w:pPr>
        <w:jc w:val="distribute"/>
        <w:rPr>
          <w:rFonts w:hint="eastAsia"/>
          <w:b/>
          <w:bCs/>
          <w:color w:val="FF0000"/>
          <w:spacing w:val="86"/>
          <w:sz w:val="72"/>
        </w:rPr>
      </w:pPr>
      <w:r>
        <w:rPr>
          <w:rFonts w:hint="eastAsia"/>
          <w:b/>
          <w:bCs/>
          <w:color w:val="FF0000"/>
          <w:spacing w:val="86"/>
          <w:sz w:val="72"/>
        </w:rPr>
        <w:t>上海市宝山区财政局</w:t>
      </w:r>
    </w:p>
    <w:p>
      <w:pPr>
        <w:jc w:val="center"/>
        <w:rPr>
          <w:rFonts w:hint="eastAsia" w:ascii="仿宋_GB2312" w:hAnsi="宋体" w:eastAsia="仿宋_GB2312"/>
          <w:sz w:val="32"/>
          <w:szCs w:val="28"/>
        </w:rPr>
      </w:pPr>
    </w:p>
    <w:p>
      <w:pPr>
        <w:jc w:val="center"/>
        <w:rPr>
          <w:rFonts w:hint="eastAsia" w:ascii="仿宋_GB2312" w:hAnsi="宋体" w:eastAsia="仿宋_GB2312"/>
          <w:sz w:val="28"/>
          <w:szCs w:val="28"/>
          <w:u w:val="single"/>
          <w:lang w:val="en-US" w:eastAsia="zh-CN"/>
        </w:rPr>
      </w:pPr>
      <w:r>
        <w:rPr>
          <w:rFonts w:hint="eastAsia" w:ascii="仿宋_GB2312" w:hAnsi="宋体" w:eastAsia="仿宋_GB2312"/>
          <w:sz w:val="32"/>
          <w:szCs w:val="28"/>
        </w:rPr>
        <w:t>宝农委</w:t>
      </w:r>
      <w:r>
        <w:rPr>
          <w:rFonts w:hint="eastAsia" w:ascii="仿宋_GB2312" w:eastAsia="仿宋_GB2312"/>
          <w:sz w:val="32"/>
          <w:szCs w:val="32"/>
        </w:rPr>
        <w:t>〔</w:t>
      </w:r>
      <w:r>
        <w:rPr>
          <w:rFonts w:hint="eastAsia" w:ascii="仿宋_GB2312" w:hAnsi="宋体" w:eastAsia="仿宋_GB2312"/>
          <w:sz w:val="32"/>
          <w:szCs w:val="28"/>
        </w:rPr>
        <w:t>201</w:t>
      </w:r>
      <w:r>
        <w:rPr>
          <w:rFonts w:hint="eastAsia" w:ascii="仿宋_GB2312" w:hAnsi="宋体" w:eastAsia="仿宋_GB2312"/>
          <w:sz w:val="32"/>
          <w:szCs w:val="28"/>
          <w:lang w:val="en-US" w:eastAsia="zh-CN"/>
        </w:rPr>
        <w:t>9</w:t>
      </w:r>
      <w:r>
        <w:rPr>
          <w:rFonts w:hint="eastAsia" w:ascii="仿宋_GB2312" w:eastAsia="仿宋_GB2312"/>
          <w:sz w:val="32"/>
          <w:szCs w:val="32"/>
        </w:rPr>
        <w:t>〕</w:t>
      </w:r>
      <w:r>
        <w:rPr>
          <w:rFonts w:hint="eastAsia" w:ascii="仿宋_GB2312" w:hAnsi="宋体" w:eastAsia="仿宋_GB2312"/>
          <w:sz w:val="32"/>
          <w:szCs w:val="28"/>
          <w:lang w:val="en-US" w:eastAsia="zh-CN"/>
        </w:rPr>
        <w:t>72</w:t>
      </w:r>
      <w:r>
        <w:rPr>
          <w:rFonts w:hint="eastAsia" w:ascii="仿宋_GB2312" w:hAnsi="宋体" w:eastAsia="仿宋_GB2312"/>
          <w:sz w:val="32"/>
          <w:szCs w:val="28"/>
        </w:rPr>
        <w:t xml:space="preserve">号               </w:t>
      </w:r>
    </w:p>
    <w:p>
      <w:pPr>
        <w:rPr>
          <w:rFonts w:hint="eastAsia"/>
          <w:color w:val="FF0000"/>
          <w:sz w:val="28"/>
          <w:u w:val="thick"/>
        </w:rPr>
      </w:pPr>
      <w:r>
        <w:rPr>
          <w:rFonts w:hint="eastAsia"/>
          <w:color w:val="FF0000"/>
          <w:sz w:val="28"/>
          <w:u w:val="thick"/>
        </w:rPr>
        <w:t xml:space="preserve">                                                             </w:t>
      </w:r>
    </w:p>
    <w:p>
      <w:pPr>
        <w:keepNext w:val="0"/>
        <w:keepLines w:val="0"/>
        <w:pageBreakBefore w:val="0"/>
        <w:widowControl w:val="0"/>
        <w:kinsoku/>
        <w:overflowPunct/>
        <w:topLinePunct w:val="0"/>
        <w:bidi w:val="0"/>
        <w:snapToGrid/>
        <w:spacing w:line="520" w:lineRule="exact"/>
        <w:jc w:val="center"/>
        <w:textAlignment w:val="auto"/>
        <w:outlineLvl w:val="9"/>
        <w:rPr>
          <w:rFonts w:hint="eastAsia" w:ascii="宋体" w:hAnsi="宋体"/>
          <w:b/>
          <w:sz w:val="44"/>
          <w:szCs w:val="44"/>
        </w:rPr>
      </w:pPr>
      <w:r>
        <w:rPr>
          <w:rFonts w:hint="eastAsia" w:ascii="宋体" w:hAnsi="宋体"/>
          <w:b/>
          <w:sz w:val="44"/>
          <w:szCs w:val="44"/>
        </w:rPr>
        <w:t>关于2017年度罗泾镇设施菜田</w:t>
      </w:r>
    </w:p>
    <w:p>
      <w:pPr>
        <w:keepNext w:val="0"/>
        <w:keepLines w:val="0"/>
        <w:pageBreakBefore w:val="0"/>
        <w:widowControl w:val="0"/>
        <w:kinsoku/>
        <w:overflowPunct/>
        <w:topLinePunct w:val="0"/>
        <w:bidi w:val="0"/>
        <w:snapToGrid/>
        <w:spacing w:line="520" w:lineRule="exact"/>
        <w:jc w:val="center"/>
        <w:textAlignment w:val="auto"/>
        <w:outlineLvl w:val="9"/>
        <w:rPr>
          <w:rFonts w:hint="eastAsia" w:ascii="宋体" w:hAnsi="宋体"/>
          <w:b/>
          <w:sz w:val="44"/>
          <w:szCs w:val="44"/>
        </w:rPr>
      </w:pPr>
      <w:r>
        <w:rPr>
          <w:rFonts w:hint="eastAsia" w:ascii="宋体" w:hAnsi="宋体"/>
          <w:b/>
          <w:sz w:val="44"/>
          <w:szCs w:val="44"/>
        </w:rPr>
        <w:t>农业设施项目的验收意见</w:t>
      </w:r>
    </w:p>
    <w:p>
      <w:pPr>
        <w:keepNext w:val="0"/>
        <w:keepLines w:val="0"/>
        <w:pageBreakBefore w:val="0"/>
        <w:widowControl w:val="0"/>
        <w:kinsoku/>
        <w:overflowPunct/>
        <w:topLinePunct w:val="0"/>
        <w:bidi w:val="0"/>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上海市宝山区罗店镇人民政府：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26日，宝山区农业农村委、宝山区财政局组织专家对2017年度罗泾镇设施菜田农业设施项目进行验收。验收组听取了项目建设情况的汇报，查验了建设项目的完成情况，审核了项目资金的使用情况，并实地查验了项目建设现场后，认为基本完成各项计划任务，同意通过验收，并提出如下意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一、项目完成情况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同意建设2017年度罗泾镇设施菜田农业设施项目的批复》（宝农委[2017]30号）文件及调整批复，该项目计划建设面积628亩,计划总投资2176.53万元（其中市级财政补贴1088.27万元，区级财政补贴870.61万元，镇财政配套217.65万元），实际完成2041.5399万元，完成计划的93.8%。项目建设于2017年12月启动，2019年8月完成，各项建设内容基本完成，详见附表。</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二、结算意见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海瑞和工程咨询有限公司出具的审价报告和北京中证天通会计师事务所（特殊普通合伙）上海分所出具的审计报告等相关材料，项目完成金额为2041.5399万元，比原计划投资总额节约134.9901万元（其中管理费28.01万元），其中市、区财政应承担总数的90%部分为1837.3859万元，按出资计划核减121.4911万元，纳入市区原财政设施菜田建设资金一并结算。</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三、项目实施情况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项目在建设过程中管理程序规范，项目招投标管理纳入政府采购程序，建设合同等资料管理较好，工程审价、财务审计等方面工作落实有序。对项目资金实行区财政报账制，资金拨付审批手续规范。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四、后续工作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（一）收到此验收意见后请按计划结清工程项目的各类应付款项。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（二）按照市农业农村委、市财政局对设施菜田建成资产管理有关要求，请做好新增财政性资产的登记备案工作，明确资产归属和管理责任，保障设施菜田可持续运行。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(此页无正文)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附件：2017年度罗泾镇设施菜田农业设施项目建设完成情况表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上海市宝山区农业农村委员会　　　上海市宝山区财政局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2019年9月26日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36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560" w:lineRule="exact"/>
        <w:ind w:left="7040" w:hanging="7040" w:hangingChars="2200"/>
        <w:jc w:val="both"/>
      </w:pPr>
      <w:r>
        <w:rPr>
          <w:rFonts w:hint="eastAsia" w:ascii="仿宋_GB2312" w:eastAsia="仿宋_GB2312"/>
          <w:sz w:val="32"/>
          <w:szCs w:val="32"/>
          <w:u w:val="single"/>
        </w:rPr>
        <w:t>上海市宝山区农业</w:t>
      </w:r>
      <w:r>
        <w:rPr>
          <w:rFonts w:hint="eastAsia" w:ascii="仿宋_GB2312" w:eastAsia="仿宋_GB2312"/>
          <w:sz w:val="32"/>
          <w:szCs w:val="32"/>
          <w:u w:val="single"/>
          <w:lang w:eastAsia="zh-CN"/>
        </w:rPr>
        <w:t>农村</w:t>
      </w:r>
      <w:r>
        <w:rPr>
          <w:rFonts w:hint="eastAsia" w:ascii="仿宋_GB2312" w:eastAsia="仿宋_GB2312"/>
          <w:sz w:val="32"/>
          <w:szCs w:val="32"/>
          <w:u w:val="single"/>
        </w:rPr>
        <w:t>委员会办公室   20</w:t>
      </w:r>
      <w:r>
        <w:rPr>
          <w:rFonts w:hint="eastAsia" w:ascii="仿宋_GB2312" w:eastAsia="仿宋_GB2312"/>
          <w:sz w:val="32"/>
          <w:szCs w:val="32"/>
          <w:u w:val="single"/>
          <w:lang w:val="en-US" w:eastAsia="zh-CN"/>
        </w:rPr>
        <w:t>19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9</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26</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r>
        <w:rPr>
          <w:rFonts w:hint="eastAsia" w:ascii="仿宋_GB2312" w:hAnsi="宋体" w:eastAsia="仿宋_GB2312"/>
          <w:sz w:val="32"/>
          <w:szCs w:val="32"/>
        </w:rPr>
        <w:t>（共印</w:t>
      </w:r>
      <w:r>
        <w:rPr>
          <w:rFonts w:hint="eastAsia" w:ascii="仿宋_GB2312" w:hAnsi="宋体" w:eastAsia="仿宋_GB2312"/>
          <w:sz w:val="32"/>
          <w:szCs w:val="32"/>
          <w:lang w:val="en-US" w:eastAsia="zh-CN"/>
        </w:rPr>
        <w:t>8</w:t>
      </w:r>
      <w:r>
        <w:rPr>
          <w:rFonts w:hint="eastAsia" w:ascii="仿宋_GB2312" w:hAnsi="宋体" w:eastAsia="仿宋_GB2312"/>
          <w:sz w:val="32"/>
          <w:szCs w:val="32"/>
        </w:rPr>
        <w:t>份）</w:t>
      </w:r>
    </w:p>
    <w:p>
      <w:pPr>
        <w:adjustRightInd w:val="0"/>
        <w:snapToGrid w:val="0"/>
        <w:spacing w:line="360" w:lineRule="auto"/>
        <w:ind w:firstLine="560" w:firstLineChars="200"/>
        <w:rPr>
          <w:rFonts w:hint="eastAsia" w:ascii="宋体" w:hAnsi="宋体"/>
          <w:bCs/>
          <w:sz w:val="28"/>
          <w:szCs w:val="28"/>
        </w:rPr>
      </w:pPr>
      <w:bookmarkStart w:id="0" w:name="_GoBack"/>
      <w:bookmarkEnd w:id="0"/>
      <w:r>
        <w:rPr>
          <w:rFonts w:hint="eastAsia" w:ascii="宋体" w:hAnsi="宋体"/>
          <w:sz w:val="28"/>
          <w:szCs w:val="28"/>
        </w:rPr>
        <w:t>2017年度罗泾镇设施菜田农业设施项目建设</w:t>
      </w:r>
      <w:r>
        <w:rPr>
          <w:rFonts w:hint="eastAsia" w:ascii="宋体" w:hAnsi="宋体"/>
          <w:bCs/>
          <w:sz w:val="28"/>
          <w:szCs w:val="28"/>
        </w:rPr>
        <w:t>完成情况表</w:t>
      </w:r>
    </w:p>
    <w:p>
      <w:pPr>
        <w:adjustRightInd w:val="0"/>
        <w:snapToGrid w:val="0"/>
        <w:spacing w:line="360" w:lineRule="auto"/>
        <w:ind w:firstLine="560" w:firstLineChars="200"/>
        <w:rPr>
          <w:rFonts w:hint="eastAsia" w:ascii="宋体" w:hAnsi="宋体"/>
          <w:szCs w:val="21"/>
        </w:rPr>
      </w:pPr>
      <w:r>
        <w:rPr>
          <w:rFonts w:hint="eastAsia" w:ascii="宋体" w:hAnsi="宋体"/>
          <w:bCs/>
          <w:sz w:val="28"/>
          <w:szCs w:val="28"/>
        </w:rPr>
        <w:t xml:space="preserve">                                                   </w:t>
      </w:r>
      <w:r>
        <w:rPr>
          <w:rFonts w:hint="eastAsia" w:ascii="宋体" w:hAnsi="宋体"/>
          <w:bCs/>
          <w:szCs w:val="21"/>
        </w:rPr>
        <w:t>金额：万元</w:t>
      </w:r>
    </w:p>
    <w:tbl>
      <w:tblPr>
        <w:tblStyle w:val="3"/>
        <w:tblW w:w="10765" w:type="dxa"/>
        <w:jc w:val="center"/>
        <w:tblInd w:w="-1310" w:type="dxa"/>
        <w:tblLayout w:type="fixed"/>
        <w:tblCellMar>
          <w:top w:w="0" w:type="dxa"/>
          <w:left w:w="108" w:type="dxa"/>
          <w:bottom w:w="0" w:type="dxa"/>
          <w:right w:w="108" w:type="dxa"/>
        </w:tblCellMar>
      </w:tblPr>
      <w:tblGrid>
        <w:gridCol w:w="2075"/>
        <w:gridCol w:w="666"/>
        <w:gridCol w:w="882"/>
        <w:gridCol w:w="1031"/>
        <w:gridCol w:w="882"/>
        <w:gridCol w:w="1031"/>
        <w:gridCol w:w="1056"/>
        <w:gridCol w:w="1169"/>
        <w:gridCol w:w="969"/>
        <w:gridCol w:w="1004"/>
      </w:tblGrid>
      <w:tr>
        <w:tblPrEx>
          <w:tblLayout w:type="fixed"/>
          <w:tblCellMar>
            <w:top w:w="0" w:type="dxa"/>
            <w:left w:w="108" w:type="dxa"/>
            <w:bottom w:w="0" w:type="dxa"/>
            <w:right w:w="108" w:type="dxa"/>
          </w:tblCellMar>
        </w:tblPrEx>
        <w:trPr>
          <w:trHeight w:val="392" w:hRule="atLeast"/>
          <w:jc w:val="center"/>
        </w:trPr>
        <w:tc>
          <w:tcPr>
            <w:tcW w:w="207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建设内容</w:t>
            </w:r>
          </w:p>
        </w:tc>
        <w:tc>
          <w:tcPr>
            <w:tcW w:w="666" w:type="dxa"/>
            <w:vMerge w:val="restart"/>
            <w:tcBorders>
              <w:top w:val="single" w:color="auto" w:sz="12" w:space="0"/>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计量单位</w:t>
            </w:r>
          </w:p>
        </w:tc>
        <w:tc>
          <w:tcPr>
            <w:tcW w:w="8024" w:type="dxa"/>
            <w:gridSpan w:val="8"/>
            <w:tcBorders>
              <w:top w:val="single" w:color="auto" w:sz="12" w:space="0"/>
              <w:left w:val="nil"/>
              <w:bottom w:val="single" w:color="auto" w:sz="4" w:space="0"/>
              <w:right w:val="single" w:color="000000" w:sz="12"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罗泾镇新陆村628亩</w:t>
            </w:r>
          </w:p>
        </w:tc>
      </w:tr>
      <w:tr>
        <w:tblPrEx>
          <w:tblLayout w:type="fixed"/>
          <w:tblCellMar>
            <w:top w:w="0" w:type="dxa"/>
            <w:left w:w="108" w:type="dxa"/>
            <w:bottom w:w="0" w:type="dxa"/>
            <w:right w:w="108" w:type="dxa"/>
          </w:tblCellMar>
        </w:tblPrEx>
        <w:trPr>
          <w:trHeight w:val="392" w:hRule="atLeast"/>
          <w:jc w:val="center"/>
        </w:trPr>
        <w:tc>
          <w:tcPr>
            <w:tcW w:w="2075" w:type="dxa"/>
            <w:vMerge w:val="continue"/>
            <w:tcBorders>
              <w:top w:val="single" w:color="auto" w:sz="12" w:space="0"/>
              <w:left w:val="single" w:color="auto" w:sz="12"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p>
        </w:tc>
        <w:tc>
          <w:tcPr>
            <w:tcW w:w="666" w:type="dxa"/>
            <w:vMerge w:val="continue"/>
            <w:tcBorders>
              <w:top w:val="single" w:color="auto" w:sz="12" w:space="0"/>
              <w:left w:val="single" w:color="auto" w:sz="4" w:space="0"/>
              <w:bottom w:val="single" w:color="000000" w:sz="4"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p>
        </w:tc>
        <w:tc>
          <w:tcPr>
            <w:tcW w:w="1913"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原批复计划数</w:t>
            </w:r>
          </w:p>
        </w:tc>
        <w:tc>
          <w:tcPr>
            <w:tcW w:w="1913"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计划调整数</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完成数</w:t>
            </w:r>
          </w:p>
        </w:tc>
        <w:tc>
          <w:tcPr>
            <w:tcW w:w="1973" w:type="dxa"/>
            <w:gridSpan w:val="2"/>
            <w:tcBorders>
              <w:top w:val="single" w:color="auto" w:sz="4" w:space="0"/>
              <w:left w:val="nil"/>
              <w:bottom w:val="single" w:color="auto" w:sz="4" w:space="0"/>
              <w:right w:val="single" w:color="000000" w:sz="12"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完成率</w:t>
            </w:r>
          </w:p>
        </w:tc>
      </w:tr>
      <w:tr>
        <w:tblPrEx>
          <w:tblLayout w:type="fixed"/>
          <w:tblCellMar>
            <w:top w:w="0" w:type="dxa"/>
            <w:left w:w="108" w:type="dxa"/>
            <w:bottom w:w="0" w:type="dxa"/>
            <w:right w:w="108" w:type="dxa"/>
          </w:tblCellMar>
        </w:tblPrEx>
        <w:trPr>
          <w:trHeight w:val="392" w:hRule="atLeast"/>
          <w:jc w:val="center"/>
        </w:trPr>
        <w:tc>
          <w:tcPr>
            <w:tcW w:w="2075" w:type="dxa"/>
            <w:vMerge w:val="continue"/>
            <w:tcBorders>
              <w:top w:val="single" w:color="auto" w:sz="12" w:space="0"/>
              <w:left w:val="single" w:color="auto" w:sz="12"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p>
        </w:tc>
        <w:tc>
          <w:tcPr>
            <w:tcW w:w="666" w:type="dxa"/>
            <w:vMerge w:val="continue"/>
            <w:tcBorders>
              <w:top w:val="single" w:color="auto" w:sz="12" w:space="0"/>
              <w:left w:val="single" w:color="auto" w:sz="4" w:space="0"/>
              <w:bottom w:val="single" w:color="000000" w:sz="4"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数量</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金额</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数量</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金额</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数量</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金额</w:t>
            </w:r>
          </w:p>
        </w:tc>
        <w:tc>
          <w:tcPr>
            <w:tcW w:w="9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数量</w:t>
            </w:r>
          </w:p>
        </w:tc>
        <w:tc>
          <w:tcPr>
            <w:tcW w:w="1004" w:type="dxa"/>
            <w:tcBorders>
              <w:top w:val="nil"/>
              <w:left w:val="nil"/>
              <w:bottom w:val="single" w:color="auto" w:sz="4" w:space="0"/>
              <w:right w:val="single" w:color="auto" w:sz="12"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金额</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b/>
                <w:bCs/>
                <w:kern w:val="0"/>
                <w:szCs w:val="21"/>
              </w:rPr>
            </w:pPr>
            <w:r>
              <w:rPr>
                <w:rFonts w:hint="eastAsia" w:ascii="宋体" w:hAnsi="宋体" w:cs="宋体"/>
                <w:b/>
                <w:bCs/>
                <w:kern w:val="0"/>
                <w:szCs w:val="21"/>
              </w:rPr>
              <w:t>一、管棚设施</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1585.95</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1585.95</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xml:space="preserve">1477.7555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 w:val="24"/>
              </w:rPr>
            </w:pPr>
            <w:r>
              <w:rPr>
                <w:rFonts w:hint="eastAsia"/>
                <w:b/>
                <w:bCs/>
              </w:rPr>
              <w:t>　</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
                <w:bCs/>
                <w:sz w:val="24"/>
              </w:rPr>
            </w:pPr>
            <w:r>
              <w:rPr>
                <w:rFonts w:hint="eastAsia"/>
                <w:b/>
                <w:bCs/>
              </w:rPr>
              <w:t>93.18%</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GSW8430连栋棚</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m2</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39232</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784.64</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39232</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784.64</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40448</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748.0744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103.10%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95.34%</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GP-C832Z单体棚</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m2</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133552</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801.31</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133552</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801.31</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129459.2</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729.6811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96.94%</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91.06%</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b/>
                <w:bCs/>
                <w:kern w:val="0"/>
                <w:szCs w:val="21"/>
              </w:rPr>
            </w:pPr>
            <w:r>
              <w:rPr>
                <w:rFonts w:hint="eastAsia" w:ascii="宋体" w:hAnsi="宋体" w:cs="宋体"/>
                <w:b/>
                <w:bCs/>
                <w:kern w:val="0"/>
                <w:szCs w:val="21"/>
              </w:rPr>
              <w:t>二、绿色防控设施</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14.39</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14.39</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xml:space="preserve">14.2612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　</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
                <w:bCs/>
                <w:sz w:val="24"/>
              </w:rPr>
            </w:pPr>
            <w:r>
              <w:rPr>
                <w:rFonts w:hint="eastAsia"/>
                <w:b/>
                <w:bCs/>
              </w:rPr>
              <w:t>99.11%</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色板</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张</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12560</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2.51</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12560</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2.51</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12560</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2.4894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100.00%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99.18%</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性诱剂</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个</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628</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0.63</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628</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0.63</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628</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0.6242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100.00%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99.08%</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太阳能杀虫灯</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台</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10.75</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10.75</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43</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10.6531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100.00%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99.10%</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诱捕器</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只</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628</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0.50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628</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0.50 </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628</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0.4945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100.00%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98.90%</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b/>
                <w:bCs/>
                <w:kern w:val="0"/>
                <w:szCs w:val="21"/>
              </w:rPr>
            </w:pPr>
            <w:r>
              <w:rPr>
                <w:rFonts w:hint="eastAsia" w:ascii="宋体" w:hAnsi="宋体" w:cs="宋体"/>
                <w:b/>
                <w:bCs/>
                <w:kern w:val="0"/>
                <w:szCs w:val="21"/>
              </w:rPr>
              <w:t>三、水肥一体设施</w:t>
            </w:r>
          </w:p>
        </w:tc>
        <w:tc>
          <w:tcPr>
            <w:tcW w:w="6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8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54.5</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54.5</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xml:space="preserve">54.0089 </w:t>
            </w:r>
          </w:p>
        </w:tc>
        <w:tc>
          <w:tcPr>
            <w:tcW w:w="9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b/>
                <w:bCs/>
                <w:sz w:val="24"/>
              </w:rPr>
            </w:pPr>
            <w:r>
              <w:rPr>
                <w:rFonts w:hint="eastAsia"/>
                <w:b/>
                <w:bCs/>
              </w:rPr>
              <w:t>　</w:t>
            </w:r>
          </w:p>
        </w:tc>
        <w:tc>
          <w:tcPr>
            <w:tcW w:w="1004" w:type="dxa"/>
            <w:tcBorders>
              <w:top w:val="nil"/>
              <w:left w:val="nil"/>
              <w:bottom w:val="single" w:color="auto" w:sz="4" w:space="0"/>
              <w:right w:val="single" w:color="auto" w:sz="12" w:space="0"/>
            </w:tcBorders>
            <w:shd w:val="clear" w:color="000000" w:fill="FFFFFF"/>
            <w:vAlign w:val="center"/>
          </w:tcPr>
          <w:p>
            <w:pPr>
              <w:jc w:val="center"/>
              <w:rPr>
                <w:rFonts w:ascii="宋体" w:hAnsi="宋体" w:cs="宋体"/>
                <w:b/>
                <w:bCs/>
                <w:sz w:val="24"/>
              </w:rPr>
            </w:pPr>
            <w:r>
              <w:rPr>
                <w:rFonts w:hint="eastAsia"/>
                <w:b/>
                <w:bCs/>
              </w:rPr>
              <w:t>99.10%</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移动施肥机</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套</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16</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16.00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16</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16.00 </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16</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15.8558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100.00%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99.10%</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活水器</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套</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38.50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38.50 </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38.1531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100.00%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99.10%</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b/>
                <w:bCs/>
                <w:kern w:val="0"/>
                <w:szCs w:val="21"/>
              </w:rPr>
            </w:pPr>
            <w:r>
              <w:rPr>
                <w:rFonts w:hint="eastAsia" w:ascii="宋体" w:hAnsi="宋体" w:cs="宋体"/>
                <w:b/>
                <w:bCs/>
                <w:kern w:val="0"/>
                <w:szCs w:val="21"/>
              </w:rPr>
              <w:t>四、农残检测设施</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xml:space="preserve">9.00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xml:space="preserve">9.00 </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xml:space="preserve">8.9189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　</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
                <w:bCs/>
                <w:sz w:val="24"/>
              </w:rPr>
            </w:pPr>
            <w:r>
              <w:rPr>
                <w:rFonts w:hint="eastAsia"/>
                <w:b/>
                <w:bCs/>
              </w:rPr>
              <w:t>99.10%</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农残检测设施</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套</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9.00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9.00 </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8.9189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100.00%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99.10%</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b/>
                <w:bCs/>
                <w:kern w:val="0"/>
                <w:szCs w:val="21"/>
              </w:rPr>
            </w:pPr>
            <w:r>
              <w:rPr>
                <w:rFonts w:hint="eastAsia" w:ascii="宋体" w:hAnsi="宋体" w:cs="宋体"/>
                <w:b/>
                <w:bCs/>
                <w:kern w:val="0"/>
                <w:szCs w:val="21"/>
              </w:rPr>
              <w:t>五、附属设施</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425.96</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400.14</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xml:space="preserve">434.2781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　</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
                <w:bCs/>
                <w:sz w:val="24"/>
              </w:rPr>
            </w:pPr>
            <w:r>
              <w:rPr>
                <w:rFonts w:hint="eastAsia"/>
                <w:b/>
                <w:bCs/>
              </w:rPr>
              <w:t>101.95%</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场地</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m2</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289.26</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5.67</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210.33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4.13</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684</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11.5429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rPr>
              <w:t>236.47%</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203.58%</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仓库</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m2</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322.3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48.35</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000000"/>
                <w:kern w:val="0"/>
                <w:szCs w:val="21"/>
              </w:rPr>
            </w:pPr>
            <w:r>
              <w:rPr>
                <w:rFonts w:hint="eastAsia" w:ascii="宋体" w:hAnsi="宋体" w:cs="宋体"/>
                <w:color w:val="000000"/>
                <w:kern w:val="0"/>
                <w:szCs w:val="21"/>
              </w:rPr>
              <w:t>322.3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48.35</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322</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66.8260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rPr>
              <w:t>99.91%</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138.21%</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净菜棚</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m2</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614.43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36.87</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409.62</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24.58</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408</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22.5512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rPr>
              <w:t>66.40%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61.16%</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钢丝网围墙</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m2</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21450</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243.75</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21450</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243.75</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20789</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274.2032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rPr>
              <w:t>96.92%</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112.49%</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仓库接电及农田线</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项</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75.74</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75.74</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54.6248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rPr>
              <w:t>100.00%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72.12%</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围墙门</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扇</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18</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3.59</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18</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3.59</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20</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4.5300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rPr>
              <w:t>111.11%</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126.18%</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外接自来水</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处</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12.00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0</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0</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0</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0.0000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0.00%</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0.00%</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b/>
                <w:bCs/>
                <w:kern w:val="0"/>
                <w:szCs w:val="21"/>
              </w:rPr>
            </w:pPr>
            <w:r>
              <w:rPr>
                <w:rFonts w:hint="eastAsia" w:ascii="宋体" w:hAnsi="宋体" w:cs="宋体"/>
                <w:b/>
                <w:bCs/>
                <w:kern w:val="0"/>
                <w:szCs w:val="21"/>
              </w:rPr>
              <w:t>六、废弃物处理设施</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23.33</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17.08</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xml:space="preserve">16.9294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　</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
                <w:bCs/>
                <w:sz w:val="24"/>
              </w:rPr>
            </w:pPr>
            <w:r>
              <w:rPr>
                <w:rFonts w:hint="eastAsia"/>
                <w:b/>
                <w:bCs/>
              </w:rPr>
              <w:t>72.56%</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堆肥棚</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m2</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312.3</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18.74</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208.2</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12.49</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207</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10.1929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66.28%</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54.39%</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其他附属</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4.59</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4.59</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6.7365 </w:t>
            </w:r>
          </w:p>
        </w:tc>
        <w:tc>
          <w:tcPr>
            <w:tcW w:w="9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　</w:t>
            </w:r>
          </w:p>
        </w:tc>
        <w:tc>
          <w:tcPr>
            <w:tcW w:w="1004" w:type="dxa"/>
            <w:tcBorders>
              <w:top w:val="nil"/>
              <w:left w:val="nil"/>
              <w:bottom w:val="single" w:color="auto" w:sz="4" w:space="0"/>
              <w:right w:val="single" w:color="auto" w:sz="12" w:space="0"/>
            </w:tcBorders>
            <w:shd w:val="clear" w:color="auto" w:fill="auto"/>
            <w:vAlign w:val="center"/>
          </w:tcPr>
          <w:p>
            <w:pPr>
              <w:jc w:val="center"/>
              <w:rPr>
                <w:rFonts w:ascii="宋体" w:hAnsi="宋体" w:cs="宋体"/>
                <w:bCs/>
                <w:sz w:val="24"/>
              </w:rPr>
            </w:pPr>
            <w:r>
              <w:rPr>
                <w:rFonts w:hint="eastAsia"/>
                <w:bCs/>
              </w:rPr>
              <w:t>146.77%</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一、工程合计</w:t>
            </w:r>
          </w:p>
        </w:tc>
        <w:tc>
          <w:tcPr>
            <w:tcW w:w="6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8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2113.13</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2081.06</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 xml:space="preserve">2006.1520 </w:t>
            </w:r>
          </w:p>
        </w:tc>
        <w:tc>
          <w:tcPr>
            <w:tcW w:w="96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b/>
                <w:bCs/>
                <w:sz w:val="24"/>
              </w:rPr>
            </w:pPr>
            <w:r>
              <w:rPr>
                <w:rFonts w:hint="eastAsia"/>
                <w:b/>
                <w:bCs/>
              </w:rPr>
              <w:t>　</w:t>
            </w:r>
          </w:p>
        </w:tc>
        <w:tc>
          <w:tcPr>
            <w:tcW w:w="1004" w:type="dxa"/>
            <w:tcBorders>
              <w:top w:val="nil"/>
              <w:left w:val="nil"/>
              <w:bottom w:val="single" w:color="auto" w:sz="4" w:space="0"/>
              <w:right w:val="single" w:color="auto" w:sz="12" w:space="0"/>
            </w:tcBorders>
            <w:shd w:val="clear" w:color="000000" w:fill="FFFFFF"/>
            <w:vAlign w:val="center"/>
          </w:tcPr>
          <w:p>
            <w:pPr>
              <w:jc w:val="center"/>
              <w:rPr>
                <w:rFonts w:ascii="宋体" w:hAnsi="宋体" w:cs="宋体"/>
                <w:b/>
                <w:bCs/>
                <w:sz w:val="24"/>
              </w:rPr>
            </w:pPr>
            <w:r>
              <w:rPr>
                <w:rFonts w:hint="eastAsia"/>
                <w:b/>
                <w:bCs/>
              </w:rPr>
              <w:t>94.94%</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二、管理费</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63.40 </w:t>
            </w:r>
          </w:p>
        </w:tc>
        <w:tc>
          <w:tcPr>
            <w:tcW w:w="88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103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63.40 </w:t>
            </w:r>
          </w:p>
        </w:tc>
        <w:tc>
          <w:tcPr>
            <w:tcW w:w="1056"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35.3879 </w:t>
            </w:r>
          </w:p>
        </w:tc>
        <w:tc>
          <w:tcPr>
            <w:tcW w:w="969" w:type="dxa"/>
            <w:tcBorders>
              <w:top w:val="nil"/>
              <w:left w:val="nil"/>
              <w:bottom w:val="single" w:color="auto" w:sz="4" w:space="0"/>
              <w:right w:val="single" w:color="auto" w:sz="4" w:space="0"/>
            </w:tcBorders>
            <w:shd w:val="clear" w:color="auto" w:fill="auto"/>
            <w:vAlign w:val="center"/>
          </w:tcPr>
          <w:p>
            <w:pPr>
              <w:rPr>
                <w:rFonts w:ascii="宋体" w:hAnsi="宋体" w:cs="宋体"/>
                <w:sz w:val="24"/>
              </w:rPr>
            </w:pPr>
            <w:r>
              <w:rPr>
                <w:rFonts w:hint="eastAsia"/>
              </w:rPr>
              <w:t>　</w:t>
            </w:r>
          </w:p>
        </w:tc>
        <w:tc>
          <w:tcPr>
            <w:tcW w:w="1004" w:type="dxa"/>
            <w:tcBorders>
              <w:top w:val="nil"/>
              <w:left w:val="nil"/>
              <w:bottom w:val="single" w:color="auto" w:sz="4" w:space="0"/>
              <w:right w:val="single" w:color="auto" w:sz="12" w:space="0"/>
            </w:tcBorders>
            <w:shd w:val="clear" w:color="000000" w:fill="FFFFFF"/>
            <w:vAlign w:val="center"/>
          </w:tcPr>
          <w:p>
            <w:pPr>
              <w:jc w:val="center"/>
              <w:rPr>
                <w:rFonts w:ascii="宋体" w:hAnsi="宋体" w:cs="宋体"/>
                <w:bCs/>
                <w:sz w:val="24"/>
              </w:rPr>
            </w:pPr>
            <w:r>
              <w:rPr>
                <w:rFonts w:hint="eastAsia"/>
                <w:bCs/>
              </w:rPr>
              <w:t>55.82%</w:t>
            </w:r>
          </w:p>
        </w:tc>
      </w:tr>
      <w:tr>
        <w:tblPrEx>
          <w:tblLayout w:type="fixed"/>
          <w:tblCellMar>
            <w:top w:w="0" w:type="dxa"/>
            <w:left w:w="108" w:type="dxa"/>
            <w:bottom w:w="0" w:type="dxa"/>
            <w:right w:w="108" w:type="dxa"/>
          </w:tblCellMar>
        </w:tblPrEx>
        <w:trPr>
          <w:trHeight w:val="392" w:hRule="atLeast"/>
          <w:jc w:val="center"/>
        </w:trPr>
        <w:tc>
          <w:tcPr>
            <w:tcW w:w="2075" w:type="dxa"/>
            <w:tcBorders>
              <w:top w:val="nil"/>
              <w:left w:val="single" w:color="auto" w:sz="12" w:space="0"/>
              <w:bottom w:val="single" w:color="auto" w:sz="12" w:space="0"/>
              <w:right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三、总计</w:t>
            </w:r>
          </w:p>
        </w:tc>
        <w:tc>
          <w:tcPr>
            <w:tcW w:w="666" w:type="dxa"/>
            <w:tcBorders>
              <w:top w:val="nil"/>
              <w:left w:val="nil"/>
              <w:bottom w:val="single" w:color="auto" w:sz="12"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882" w:type="dxa"/>
            <w:tcBorders>
              <w:top w:val="nil"/>
              <w:left w:val="nil"/>
              <w:bottom w:val="single" w:color="auto" w:sz="12" w:space="0"/>
              <w:right w:val="single" w:color="auto" w:sz="4" w:space="0"/>
            </w:tcBorders>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　</w:t>
            </w:r>
          </w:p>
        </w:tc>
        <w:tc>
          <w:tcPr>
            <w:tcW w:w="1031" w:type="dxa"/>
            <w:tcBorders>
              <w:top w:val="nil"/>
              <w:left w:val="nil"/>
              <w:bottom w:val="single" w:color="auto" w:sz="12" w:space="0"/>
              <w:right w:val="single" w:color="auto" w:sz="4" w:space="0"/>
            </w:tcBorders>
            <w:shd w:val="clear" w:color="auto" w:fill="auto"/>
            <w:vAlign w:val="center"/>
          </w:tcPr>
          <w:p>
            <w:pPr>
              <w:widowControl/>
              <w:adjustRightInd w:val="0"/>
              <w:snapToGrid w:val="0"/>
              <w:jc w:val="center"/>
              <w:rPr>
                <w:rFonts w:ascii="宋体" w:hAnsi="宋体" w:cs="宋体"/>
                <w:b/>
                <w:kern w:val="0"/>
                <w:szCs w:val="21"/>
              </w:rPr>
            </w:pPr>
            <w:r>
              <w:rPr>
                <w:rFonts w:hint="eastAsia" w:ascii="宋体" w:hAnsi="宋体" w:cs="宋体"/>
                <w:b/>
                <w:kern w:val="0"/>
                <w:szCs w:val="21"/>
              </w:rPr>
              <w:t>2176.53</w:t>
            </w:r>
          </w:p>
        </w:tc>
        <w:tc>
          <w:tcPr>
            <w:tcW w:w="882" w:type="dxa"/>
            <w:tcBorders>
              <w:top w:val="nil"/>
              <w:left w:val="nil"/>
              <w:bottom w:val="single" w:color="auto" w:sz="12" w:space="0"/>
              <w:right w:val="single" w:color="auto" w:sz="4" w:space="0"/>
            </w:tcBorders>
            <w:shd w:val="clear" w:color="auto" w:fill="auto"/>
            <w:vAlign w:val="center"/>
          </w:tcPr>
          <w:p>
            <w:pPr>
              <w:widowControl/>
              <w:adjustRightInd w:val="0"/>
              <w:snapToGrid w:val="0"/>
              <w:jc w:val="left"/>
              <w:rPr>
                <w:rFonts w:ascii="宋体" w:hAnsi="宋体" w:cs="宋体"/>
                <w:b/>
                <w:kern w:val="0"/>
                <w:szCs w:val="21"/>
              </w:rPr>
            </w:pPr>
            <w:r>
              <w:rPr>
                <w:rFonts w:hint="eastAsia" w:ascii="宋体" w:hAnsi="宋体" w:cs="宋体"/>
                <w:b/>
                <w:kern w:val="0"/>
                <w:szCs w:val="21"/>
              </w:rPr>
              <w:t>　</w:t>
            </w:r>
          </w:p>
        </w:tc>
        <w:tc>
          <w:tcPr>
            <w:tcW w:w="1031" w:type="dxa"/>
            <w:tcBorders>
              <w:top w:val="nil"/>
              <w:left w:val="nil"/>
              <w:bottom w:val="single" w:color="auto" w:sz="12" w:space="0"/>
              <w:right w:val="single" w:color="auto" w:sz="4" w:space="0"/>
            </w:tcBorders>
            <w:shd w:val="clear" w:color="auto" w:fill="auto"/>
            <w:vAlign w:val="center"/>
          </w:tcPr>
          <w:p>
            <w:pPr>
              <w:widowControl/>
              <w:adjustRightInd w:val="0"/>
              <w:snapToGrid w:val="0"/>
              <w:jc w:val="center"/>
              <w:rPr>
                <w:rFonts w:ascii="宋体" w:hAnsi="宋体" w:cs="宋体"/>
                <w:b/>
                <w:kern w:val="0"/>
                <w:szCs w:val="21"/>
              </w:rPr>
            </w:pPr>
            <w:r>
              <w:rPr>
                <w:rFonts w:hint="eastAsia" w:ascii="宋体" w:hAnsi="宋体" w:cs="宋体"/>
                <w:b/>
                <w:kern w:val="0"/>
                <w:szCs w:val="21"/>
              </w:rPr>
              <w:t xml:space="preserve">2144.46 </w:t>
            </w:r>
          </w:p>
        </w:tc>
        <w:tc>
          <w:tcPr>
            <w:tcW w:w="1056" w:type="dxa"/>
            <w:tcBorders>
              <w:top w:val="nil"/>
              <w:left w:val="nil"/>
              <w:bottom w:val="single" w:color="auto" w:sz="12" w:space="0"/>
              <w:right w:val="single" w:color="auto" w:sz="4" w:space="0"/>
            </w:tcBorders>
            <w:shd w:val="clear" w:color="auto" w:fill="auto"/>
            <w:vAlign w:val="center"/>
          </w:tcPr>
          <w:p>
            <w:pPr>
              <w:widowControl/>
              <w:adjustRightInd w:val="0"/>
              <w:snapToGrid w:val="0"/>
              <w:jc w:val="left"/>
              <w:rPr>
                <w:rFonts w:ascii="宋体" w:hAnsi="宋体" w:cs="宋体"/>
                <w:b/>
                <w:kern w:val="0"/>
                <w:szCs w:val="21"/>
              </w:rPr>
            </w:pPr>
            <w:r>
              <w:rPr>
                <w:rFonts w:hint="eastAsia" w:ascii="宋体" w:hAnsi="宋体" w:cs="宋体"/>
                <w:b/>
                <w:kern w:val="0"/>
                <w:szCs w:val="21"/>
              </w:rPr>
              <w:t>　</w:t>
            </w:r>
          </w:p>
        </w:tc>
        <w:tc>
          <w:tcPr>
            <w:tcW w:w="1169" w:type="dxa"/>
            <w:tcBorders>
              <w:top w:val="nil"/>
              <w:left w:val="nil"/>
              <w:bottom w:val="single" w:color="auto" w:sz="12" w:space="0"/>
              <w:right w:val="single" w:color="auto" w:sz="4" w:space="0"/>
            </w:tcBorders>
            <w:shd w:val="clear" w:color="auto" w:fill="auto"/>
            <w:vAlign w:val="center"/>
          </w:tcPr>
          <w:p>
            <w:pPr>
              <w:widowControl/>
              <w:adjustRightInd w:val="0"/>
              <w:snapToGrid w:val="0"/>
              <w:jc w:val="center"/>
              <w:rPr>
                <w:rFonts w:ascii="宋体" w:hAnsi="宋体" w:cs="宋体"/>
                <w:b/>
                <w:kern w:val="0"/>
                <w:szCs w:val="21"/>
              </w:rPr>
            </w:pPr>
            <w:r>
              <w:rPr>
                <w:rFonts w:hint="eastAsia" w:ascii="宋体" w:hAnsi="宋体" w:cs="宋体"/>
                <w:b/>
                <w:kern w:val="0"/>
                <w:szCs w:val="21"/>
              </w:rPr>
              <w:t xml:space="preserve">2041.5399 </w:t>
            </w:r>
          </w:p>
        </w:tc>
        <w:tc>
          <w:tcPr>
            <w:tcW w:w="969" w:type="dxa"/>
            <w:tcBorders>
              <w:top w:val="nil"/>
              <w:left w:val="nil"/>
              <w:bottom w:val="single" w:color="auto" w:sz="12" w:space="0"/>
              <w:right w:val="single" w:color="auto" w:sz="4" w:space="0"/>
            </w:tcBorders>
            <w:shd w:val="clear" w:color="auto" w:fill="auto"/>
            <w:vAlign w:val="center"/>
          </w:tcPr>
          <w:p>
            <w:pPr>
              <w:rPr>
                <w:rFonts w:ascii="宋体" w:hAnsi="宋体" w:cs="宋体"/>
                <w:b/>
                <w:sz w:val="24"/>
              </w:rPr>
            </w:pPr>
            <w:r>
              <w:rPr>
                <w:rFonts w:hint="eastAsia"/>
                <w:b/>
              </w:rPr>
              <w:t>　</w:t>
            </w:r>
          </w:p>
        </w:tc>
        <w:tc>
          <w:tcPr>
            <w:tcW w:w="1004" w:type="dxa"/>
            <w:tcBorders>
              <w:top w:val="nil"/>
              <w:left w:val="nil"/>
              <w:bottom w:val="single" w:color="auto" w:sz="12" w:space="0"/>
              <w:right w:val="single" w:color="auto" w:sz="12" w:space="0"/>
            </w:tcBorders>
            <w:shd w:val="clear" w:color="000000" w:fill="FFFFFF"/>
            <w:vAlign w:val="center"/>
          </w:tcPr>
          <w:p>
            <w:pPr>
              <w:jc w:val="center"/>
              <w:rPr>
                <w:rFonts w:ascii="宋体" w:hAnsi="宋体" w:cs="宋体"/>
                <w:b/>
                <w:bCs/>
                <w:sz w:val="24"/>
              </w:rPr>
            </w:pPr>
            <w:r>
              <w:rPr>
                <w:rFonts w:hint="eastAsia"/>
                <w:b/>
                <w:bCs/>
              </w:rPr>
              <w:t>93.80%</w:t>
            </w:r>
          </w:p>
        </w:tc>
      </w:tr>
    </w:tbl>
    <w:p>
      <w:pPr>
        <w:keepNext w:val="0"/>
        <w:keepLines w:val="0"/>
        <w:pageBreakBefore w:val="0"/>
        <w:widowControl w:val="0"/>
        <w:kinsoku/>
        <w:wordWrap w:val="0"/>
        <w:overflowPunct/>
        <w:topLinePunct w:val="0"/>
        <w:bidi w:val="0"/>
        <w:snapToGrid/>
        <w:spacing w:line="520" w:lineRule="exact"/>
        <w:ind w:right="140"/>
        <w:jc w:val="center"/>
        <w:textAlignment w:val="auto"/>
        <w:outlineLvl w:val="9"/>
        <w:rPr>
          <w:rFonts w:hint="eastAsia" w:ascii="仿宋_GB2312" w:hAnsi="仿宋_GB2312" w:eastAsia="仿宋_GB2312" w:cs="仿宋_GB2312"/>
          <w:sz w:val="32"/>
          <w:szCs w:val="32"/>
        </w:rPr>
      </w:pPr>
    </w:p>
    <w:sectPr>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1432B"/>
    <w:rsid w:val="322D36DA"/>
    <w:rsid w:val="47886B1E"/>
    <w:rsid w:val="685C6520"/>
    <w:rsid w:val="6E080DED"/>
    <w:rsid w:val="711B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dc:creator>
  <cp:lastModifiedBy>答卷人</cp:lastModifiedBy>
  <cp:lastPrinted>2019-09-30T05:49:00Z</cp:lastPrinted>
  <dcterms:modified xsi:type="dcterms:W3CDTF">2019-10-12T04:34:33Z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