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51" w:rsidRDefault="008A1C51">
      <w:pPr>
        <w:widowControl/>
        <w:adjustRightInd w:val="0"/>
        <w:snapToGrid w:val="0"/>
        <w:spacing w:after="200"/>
        <w:ind w:firstLineChars="200" w:firstLine="44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8A1C51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8A1C51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8A1C51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8A1C51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8A1C51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8A1C51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kern w:val="0"/>
          <w:sz w:val="22"/>
        </w:rPr>
      </w:pPr>
    </w:p>
    <w:p w:rsidR="008A1C51" w:rsidRDefault="00F3116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Calibri" w:cs="Times New Roman"/>
          <w:sz w:val="32"/>
          <w:szCs w:val="32"/>
        </w:rPr>
        <w:t>泾府〔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Calibri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</w:t>
      </w:r>
      <w:r>
        <w:rPr>
          <w:rFonts w:ascii="Times New Roman" w:eastAsia="仿宋_GB2312" w:hAnsi="Calibri" w:cs="Times New Roman"/>
          <w:sz w:val="32"/>
          <w:szCs w:val="32"/>
        </w:rPr>
        <w:t>号</w:t>
      </w:r>
    </w:p>
    <w:p w:rsidR="008A1C51" w:rsidRDefault="008A1C51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8A1C51" w:rsidRPr="00BC5C56" w:rsidRDefault="00F3116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5C56">
        <w:rPr>
          <w:rFonts w:ascii="Times New Roman" w:eastAsia="华文中宋" w:hAnsi="华文中宋" w:cs="Times New Roman"/>
          <w:b/>
          <w:sz w:val="44"/>
          <w:szCs w:val="44"/>
        </w:rPr>
        <w:t>上海市宝山区罗泾镇人民政府</w:t>
      </w:r>
    </w:p>
    <w:p w:rsidR="008A1C51" w:rsidRPr="00BC5C56" w:rsidRDefault="00F3116B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5C56">
        <w:rPr>
          <w:rFonts w:ascii="Times New Roman" w:eastAsia="华文中宋" w:hAnsi="华文中宋" w:cs="Times New Roman"/>
          <w:b/>
          <w:sz w:val="44"/>
          <w:szCs w:val="44"/>
        </w:rPr>
        <w:t>关于</w:t>
      </w:r>
      <w:r w:rsidRPr="00BC5C56">
        <w:rPr>
          <w:rFonts w:ascii="Times New Roman" w:eastAsia="华文中宋" w:hAnsi="华文中宋" w:cs="Times New Roman" w:hint="eastAsia"/>
          <w:b/>
          <w:sz w:val="44"/>
          <w:szCs w:val="44"/>
        </w:rPr>
        <w:t>编制</w:t>
      </w:r>
      <w:r w:rsidRPr="00BC5C56">
        <w:rPr>
          <w:rFonts w:ascii="Times New Roman" w:eastAsia="华文中宋" w:hAnsi="华文中宋" w:cs="Times New Roman" w:hint="eastAsia"/>
          <w:b/>
          <w:sz w:val="44"/>
          <w:szCs w:val="44"/>
        </w:rPr>
        <w:t>2021</w:t>
      </w:r>
      <w:r w:rsidRPr="00BC5C56">
        <w:rPr>
          <w:rFonts w:ascii="Times New Roman" w:eastAsia="华文中宋" w:hAnsi="华文中宋" w:cs="Times New Roman" w:hint="eastAsia"/>
          <w:b/>
          <w:sz w:val="44"/>
          <w:szCs w:val="44"/>
        </w:rPr>
        <w:t>年罗泾镇部门预算的通知</w:t>
      </w:r>
    </w:p>
    <w:p w:rsidR="008A1C51" w:rsidRDefault="008A1C51">
      <w:pPr>
        <w:spacing w:line="560" w:lineRule="exact"/>
        <w:rPr>
          <w:rFonts w:ascii="Times New Roman" w:hAnsi="Times New Roman" w:cs="Times New Roman"/>
          <w:b/>
          <w:bCs/>
          <w:sz w:val="30"/>
          <w:szCs w:val="30"/>
        </w:rPr>
      </w:pPr>
    </w:p>
    <w:p w:rsidR="008A1C51" w:rsidRDefault="00F311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各预算单位：</w:t>
      </w:r>
    </w:p>
    <w:p w:rsidR="008A1C51" w:rsidRDefault="00F3116B">
      <w:pPr>
        <w:spacing w:line="560" w:lineRule="exact"/>
        <w:ind w:firstLine="60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为进一步深化我镇财政预算管理制度改革，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做好2021年部门预算编制工作，根据《中华人民共和国预算法》、罗泾镇《关于政府财政预决算审查监督办法（试行）》的规定和有关深化部门预算编制和管理改革的工作要求，现就做好2021年我镇部门预算编制工作通知如下：</w:t>
      </w:r>
    </w:p>
    <w:p w:rsidR="008A1C51" w:rsidRDefault="00F3116B">
      <w:pPr>
        <w:spacing w:line="560" w:lineRule="exact"/>
        <w:ind w:firstLine="60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一、指导思想</w:t>
      </w:r>
    </w:p>
    <w:p w:rsidR="008A1C51" w:rsidRDefault="00F3116B">
      <w:pPr>
        <w:widowControl/>
        <w:spacing w:line="560" w:lineRule="exact"/>
        <w:ind w:firstLineChars="196" w:firstLine="627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预算编制的指导思想是：以习近平新时代中国特色社会主义思想为指导，全面贯彻落实党的十九大和十九届二中、三中、四中全会精神，坚持稳中求进工作总基调，坚持新发展理念，聚焦新目标，落实新部署，进一步突出补短板、强弱项、增后劲、惠民生，促进提升区域能级和核心竞争力。按照“统筹兼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顾、有保有压”的要求，进一步优化调整财政支出结构，牢固树立艰苦奋斗、勤俭节约的思想；进一步规范完善预算编制，不断提高预算编制的科学性、规范性和有效性。强化预算执行约束，深化政府采购改革；进一步全面实施预算绩效管理，加快建成全方位、全过程、全覆盖的预算绩效管理新体系，提高财政资金使用效益。推进财政预算信息公开，加快建立全面规范、公开透明的现代预算管理制度。</w:t>
      </w:r>
    </w:p>
    <w:p w:rsidR="008A1C51" w:rsidRDefault="00F3116B">
      <w:pPr>
        <w:spacing w:line="560" w:lineRule="exact"/>
        <w:ind w:firstLine="60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二、编制原则</w:t>
      </w:r>
    </w:p>
    <w:p w:rsidR="008A1C51" w:rsidRDefault="00F3116B">
      <w:pPr>
        <w:spacing w:line="560" w:lineRule="exact"/>
        <w:ind w:firstLineChars="148" w:firstLine="475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（一）公共财政原则。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各预算单位应按照深化公共财政改革的要求，进一步调整和优化支出结构，把过紧日子作为长期坚持的方针，严格控制各项行政开支，把更多的资金投向公共服务领域。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（二）综合预算原则。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各预算单位应按规定将所有收入和支出全部纳入部门预算管理，在编制支出预算时，应结合部门职能和事业发展等需要，统筹安排财政拨款收入、事业收入、其他收入等各项收入和以前年度结转资金。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（三）量力而行原则。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各预算单位应综合考虑本部门和本单位当年收支增减变化因素，各项事业发展所需资金应与财政承受能力相适应，做到积极稳妥、量入为出，确保收支平衡。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（四）统筹兼顾原则。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各预算单位应根据履行的职责、事业发展目标和现有资源配置情况，在财力可能的情况下，统筹兼顾、有保有压，区分轻重缓急，合理安排各项支出。</w:t>
      </w:r>
    </w:p>
    <w:p w:rsidR="008A1C51" w:rsidRDefault="00F3116B">
      <w:pPr>
        <w:spacing w:line="560" w:lineRule="exact"/>
        <w:ind w:firstLine="600"/>
        <w:rPr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（五）全面绩效原则。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各预算单位应按照建立全方位、全过程、全覆盖的预算绩效管理新体系的要求，将绩效理念和方法融入预算编制、执行、监督全过程，将绩效结果作为预算安排、政策调整的重要依据。</w:t>
      </w:r>
    </w:p>
    <w:p w:rsidR="008A1C51" w:rsidRDefault="00F3116B">
      <w:pPr>
        <w:spacing w:line="560" w:lineRule="exact"/>
        <w:ind w:firstLine="60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三、编制范围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（一）各行政、参公、事业单位。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（二）各有关公司。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（三）与镇财政有零拨关系的其他单位。</w:t>
      </w:r>
    </w:p>
    <w:p w:rsidR="008A1C51" w:rsidRDefault="00F3116B">
      <w:pPr>
        <w:spacing w:line="560" w:lineRule="exact"/>
        <w:ind w:firstLine="600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四、编制内容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部门预算编制主要内容包括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收入预算、支出预算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政府采购预算和政府购买服务预算四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大部分。</w:t>
      </w:r>
    </w:p>
    <w:p w:rsidR="008A1C51" w:rsidRDefault="00F3116B">
      <w:pPr>
        <w:spacing w:line="560" w:lineRule="exact"/>
        <w:ind w:firstLine="600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（一）收入预算。</w:t>
      </w:r>
      <w:r>
        <w:rPr>
          <w:rFonts w:ascii="仿宋_GB2312" w:eastAsia="仿宋_GB2312" w:hAnsi="仿宋_GB2312" w:cs="仿宋_GB2312" w:hint="eastAsia"/>
          <w:sz w:val="32"/>
          <w:szCs w:val="32"/>
        </w:rPr>
        <w:t>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入主要包括财政拨款收入、事业收入、事业单位经营收入和其他收入。各单位应具体分析历年收入情况和预算年度收入增减变动因素，测算预算年度取得的各项收入来源。</w:t>
      </w:r>
    </w:p>
    <w:p w:rsidR="008A1C51" w:rsidRDefault="00F3116B">
      <w:pPr>
        <w:spacing w:line="560" w:lineRule="exact"/>
        <w:ind w:firstLine="600"/>
        <w:rPr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（二）支出预算。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包括基本支出和项目支出。其中：</w:t>
      </w:r>
    </w:p>
    <w:p w:rsidR="008A1C51" w:rsidRDefault="00F3116B">
      <w:pPr>
        <w:spacing w:line="560" w:lineRule="exact"/>
        <w:ind w:firstLine="600"/>
        <w:rPr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基本支出是为保障机构正常运转、完成日常工作所产生的支出，各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应严格按照人事部门规定标准和财政部门下发的各类定员、定额标准编制，人员变化要做出详细说明。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项目支出是各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为完成特定的工作任务或实现事业发展目标，在基本支出之外发生的支出。项目支出实行专项资金管理，包括公共设施维护类、设施设备及政策性补贴类、基本建设类、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扶持企业发展类和政府债券类等专项资金。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政府采购预算。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在编制部门预算的同时，应按照《政府采购法》、《政府采购法实施条例》和《宝山区年度政府采购集中采购目录和采购限额标准》的规定，编制本单位的政府采购预算，要正确填报项目拨付方式、采购目录、采购品目和采购方式。</w:t>
      </w:r>
    </w:p>
    <w:p w:rsidR="008A1C51" w:rsidRDefault="00F3116B">
      <w:pPr>
        <w:spacing w:line="560" w:lineRule="exact"/>
        <w:ind w:firstLine="600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（四）政府购买服务预算。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各单位在编制部门预算的同时，应按照《宝山区政府购买服务实施办法》和《宝山区区级政府购买服务实施目录》的规定，结合部门工作重点和实际需要，编制本单位的政府购买服务预算。</w:t>
      </w:r>
    </w:p>
    <w:p w:rsidR="008A1C51" w:rsidRDefault="00F3116B">
      <w:pPr>
        <w:spacing w:line="560" w:lineRule="exact"/>
        <w:ind w:firstLine="600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五、编制要求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（一）调整优化支出结构，严格控制一般性支出</w:t>
      </w:r>
    </w:p>
    <w:p w:rsidR="008A1C51" w:rsidRDefault="00F3116B">
      <w:pPr>
        <w:spacing w:line="560" w:lineRule="exact"/>
        <w:ind w:firstLineChars="200" w:firstLine="643"/>
        <w:rPr>
          <w:rFonts w:ascii="仿宋_GB2312" w:eastAsia="仿宋_GB2312" w:hAnsi="仿宋_GB2312" w:cs="仿宋_GB2312"/>
          <w:color w:val="00B05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一是聚焦保障重点支出。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年财政预算安排重点聚焦产业结构转型升级，优化营商环境，推动经济高质量发展；聚焦支持民生持续改善，加快教育、文化、体育、医疗卫生、养老等社会事业发展，聚焦支持城乡一体化建设，保障“乡村振兴”战略全面推进，聚焦支持“两网”、“智慧城市”建设等重点工作。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二是严格控制一般性支出。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政府继续带头过紧日子，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各单位要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支出事项必要性、合理性的审核，严格执行经费开支范围和标准，改进会议和培训等形式，从严控制宣传片制作以及大型会议、论坛等活动。2021年继续压减一般性项目支出，继续从严控制“三公”经费，2021年因公出国（境）费、公务用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购置及运行费、公务接待费的分项和总量，不超过2020年预算数。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日常公用经费在定额标准的基础上压减</w:t>
      </w:r>
      <w:r>
        <w:rPr>
          <w:rFonts w:ascii="仿宋_GB2312" w:eastAsia="仿宋_GB2312" w:hAnsi="仿宋_GB2312" w:cs="仿宋_GB2312" w:hint="eastAsia"/>
          <w:sz w:val="32"/>
          <w:szCs w:val="32"/>
        </w:rPr>
        <w:t>10%，实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行总量控</w:t>
      </w:r>
      <w:r>
        <w:rPr>
          <w:rFonts w:ascii="仿宋_GB2312" w:eastAsia="仿宋_GB2312" w:hAnsi="仿宋_GB2312" w:cs="仿宋_GB2312" w:hint="eastAsia"/>
          <w:sz w:val="32"/>
          <w:szCs w:val="32"/>
        </w:rPr>
        <w:t>制。除基本民生项目外，其他项目支出在2020年年初预算基础上一律压减10%。</w:t>
      </w:r>
      <w:r>
        <w:rPr>
          <w:sz w:val="32"/>
          <w:szCs w:val="32"/>
        </w:rPr>
        <w:t xml:space="preserve"> 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（二）着力强化零基预算，规范完善预算编制</w:t>
      </w:r>
    </w:p>
    <w:p w:rsidR="008A1C51" w:rsidRDefault="00F3116B">
      <w:pPr>
        <w:pStyle w:val="MSGENFONTSTYLENAMETEMPLATEROLEMSGENFONTSTYLENAMEBYROLETEXT"/>
        <w:tabs>
          <w:tab w:val="left" w:pos="908"/>
        </w:tabs>
        <w:spacing w:line="560" w:lineRule="exact"/>
        <w:ind w:right="20" w:firstLineChars="200" w:firstLine="643"/>
        <w:jc w:val="left"/>
        <w:rPr>
          <w:rFonts w:ascii="Times New Roman" w:eastAsia="仿宋_GB2312" w:hAnsi="Times New Roman" w:hint="default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t>一是打破“基数”依赖。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各单位要切实加强对下属部门预算编制的指导，突出保障重点，切实打破和摆脱预算安排中的“基数”依赖，着力改变预算资金分配的固化格局。要建立健全部门预算安排和预算执行挂钩机制，对于支出内容基本保持不变的项目支出，连续几年预算执行率较低的，按照执行数编制预算。并严格控制预算规模，一般不得新增项目。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二是规范部门预算编制。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单位要落实好预算编制责任主体的职责，将部门预算、政府采购预算、政府购买服务预算同步考虑、同步编制，切实细化预算，进一步规范预算项目分类和具体项目设置，使预算项目设置更好体现部门职责和重点工作安排。要按照分三级细化的要求编制项目预算，根据支出的具体用途，准确使用功能分类和经济分类科目，涉及多个经济分类支出项目的，必须细化至三级明细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（三）强化预算执行约束，规范支出预算调整</w:t>
      </w:r>
    </w:p>
    <w:p w:rsidR="008A1C51" w:rsidRDefault="00F3116B">
      <w:pPr>
        <w:spacing w:line="560" w:lineRule="exact"/>
        <w:ind w:firstLineChars="200" w:firstLine="643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一是严格按批准的预算组织执行。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各单位应严格按照人大批准的预算，依法依规执行。要切实加快预算执行进度，提升预算执行质量。预算执行时，认真对照年初预算，据实列支，并按规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定调整正确使用经济分类款级科目。严格执行国库集中支付和公务卡制度，不得违规从零余额账户向实有资金账户划转资金。严格政府采购行为，杜绝无预算采购、超预算采购。</w:t>
      </w:r>
    </w:p>
    <w:p w:rsidR="008A1C51" w:rsidRDefault="00F3116B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二是规范支出预算调剂和追加。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不得自行将不同科目、项目之间的预算资金进行调剂。从严把关部门预算执行中追加事项，除政策性因素和区委、区政府确定的事项外，原则上部门预算不作追加。执行中确需调整追加的，新增支出需求首先通过调整部门和单位支出结构解决，其次按照“厉行节约、合理保障”的原则，按规定程序研究办理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（四）推进预算综合管理，统筹盘活财政资金</w:t>
      </w:r>
    </w:p>
    <w:p w:rsidR="008A1C51" w:rsidRDefault="00F3116B">
      <w:pPr>
        <w:widowControl/>
        <w:spacing w:line="56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一是加强收入和资产管理。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部门和单位加强事业收入的组织，强化财政拨款与部门事业收入等其他资金来源的综合考虑、统筹安排，形成各类资金联动合力，确保各项事业发展总体投入力度。要严格新增资产的配置，以存量制约增量，以增量调整存量，进一步提高资产配置的科学性与合理性。2021年原则上不安排新增资产，确需的首先在部门内部调剂解决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8A1C51" w:rsidRDefault="00F3116B">
      <w:pPr>
        <w:widowControl/>
        <w:spacing w:line="56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二是加大财政资金统筹力度。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单位要进一步清理财政存量资金，及时上缴统筹用于改善民生。要按照提高绩效的原则，合理安排符合规定的各项支出，避免资金闲置和沉淀浪费。要切实按项目年度用款需求编制预算，努力实现实际用款需求与年度预算安排的精准匹配，有效减少财政资金结转沉淀。上年末财政结转资金规模较大的单位，从严控制下年度项目支出规模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（五）全面实施绩效管理，加大信息公开力度</w:t>
      </w:r>
    </w:p>
    <w:p w:rsidR="008A1C51" w:rsidRDefault="00F3116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一是加强预算绩效管理。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全面贯彻落实《关于宝山区全面实施预算绩效管理的实施意见》，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应结合部门职责、事业发展规划和年度工作重点，科学编制绩效目标，实现项目预算、部门整体支出预算编报绩效目标全覆盖。持续深化绩效跟踪和绩效评价，提高绩效跟踪管理质效，重点选择反映部门履职特点、涉及重要民生和重大支出的项目开展绩效评价。提升绩效评价结果应用，将评价结果作为改进管理、完善政策和安排预算的重要依据。</w:t>
      </w:r>
    </w:p>
    <w:p w:rsidR="008A1C51" w:rsidRDefault="00F3116B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二是加大信息公开力度。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国家和本市关于进一步推进预算公开工作的意见，除涉密信息外，所有使用财政资金的部门和单位均应公开本单位的预算信息。同时大力推进绩效信息公开力度，将代表本单位履职特点、社会关注度高的重大项目、重大政策的绩效目标信息随预算一并向社会公开，增强绩效信息公开透明度，接受社会监督。</w:t>
      </w:r>
    </w:p>
    <w:p w:rsidR="008A1C51" w:rsidRDefault="00F3116B">
      <w:pPr>
        <w:spacing w:line="560" w:lineRule="exact"/>
        <w:ind w:firstLine="600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六、报送时间和资料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（一）部门预算时间安排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9月30日前，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各预算单位上报经审核的部门预算建议数（一上）、《“三公”经费预算表》。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10月15日前，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镇财政所将预算控制数（一下）下达给各预算单位。</w:t>
      </w:r>
    </w:p>
    <w:p w:rsidR="008A1C51" w:rsidRDefault="00F3116B">
      <w:pPr>
        <w:widowControl/>
        <w:spacing w:line="560" w:lineRule="exact"/>
        <w:ind w:firstLine="645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lastRenderedPageBreak/>
        <w:t>10月30日前，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各预算单位根据镇财政所下达的预算控制数，调整和细化各项收支项目，补充完善相关资料，编制正式部门预算报送镇财政所（二上）。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11月25日前，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镇财政所完成2021年预算初步方案，报镇政府审查。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12月上旬，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提交镇人大主席团会议初步审查。</w:t>
      </w:r>
    </w:p>
    <w:p w:rsidR="008A1C51" w:rsidRDefault="00F3116B">
      <w:pPr>
        <w:widowControl/>
        <w:spacing w:line="560" w:lineRule="exact"/>
        <w:ind w:firstLine="585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在镇人代会批准财政预算（草案）之日起7个工作日内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镇财政所将部门预算批复至各预算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单位（二下）。</w:t>
      </w:r>
    </w:p>
    <w:p w:rsidR="008A1C51" w:rsidRDefault="00F3116B">
      <w:pPr>
        <w:spacing w:line="56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（二）上报资料要求</w:t>
      </w:r>
    </w:p>
    <w:p w:rsidR="008A1C51" w:rsidRDefault="00F3116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1、《部门预算表》经系统上报镇财政所，</w:t>
      </w:r>
      <w:r>
        <w:rPr>
          <w:rFonts w:ascii="仿宋_GB2312" w:eastAsia="仿宋_GB2312" w:hAnsi="仿宋_GB2312" w:cs="仿宋_GB2312" w:hint="eastAsia"/>
          <w:sz w:val="32"/>
          <w:szCs w:val="32"/>
        </w:rPr>
        <w:t>纸质材料经单位负责人、分管领导签字盖章后上交镇财政所。</w:t>
      </w:r>
    </w:p>
    <w:p w:rsidR="008A1C51" w:rsidRDefault="00F3116B">
      <w:pPr>
        <w:spacing w:line="560" w:lineRule="exact"/>
        <w:ind w:firstLine="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2、《“三公”经费预算表》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纸质材料经单位负责人、分管领导签字盖章后上交镇财政所。</w:t>
      </w:r>
    </w:p>
    <w:p w:rsidR="008A1C51" w:rsidRDefault="00F3116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</w:t>
      </w:r>
    </w:p>
    <w:p w:rsidR="008A1C51" w:rsidRDefault="008A1C51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1C51" w:rsidRDefault="008A1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1C51" w:rsidRDefault="00F3116B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上海市宝山区罗泾镇人民政府</w:t>
      </w:r>
    </w:p>
    <w:p w:rsidR="008A1C51" w:rsidRDefault="00F3116B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A1C51" w:rsidRDefault="008A1C51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C5C56" w:rsidRDefault="00BC5C5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8A1C51" w:rsidRDefault="008A1C51">
      <w:pPr>
        <w:pBdr>
          <w:bottom w:val="single" w:sz="6" w:space="1" w:color="auto"/>
          <w:between w:val="single" w:sz="6" w:space="1" w:color="auto"/>
        </w:pBd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A1C51" w:rsidRDefault="00F3116B">
      <w:pPr>
        <w:pBdr>
          <w:bottom w:val="single" w:sz="6" w:space="1" w:color="auto"/>
          <w:between w:val="single" w:sz="6" w:space="1" w:color="auto"/>
        </w:pBd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cs="Times New Roman"/>
          <w:sz w:val="28"/>
          <w:szCs w:val="28"/>
        </w:rPr>
        <w:t>上海市宝山区罗泾镇办公室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2020</w:t>
      </w:r>
      <w:r>
        <w:rPr>
          <w:rFonts w:ascii="Times New Roman" w:eastAsia="仿宋_GB2312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cs="Times New Roman"/>
          <w:sz w:val="28"/>
          <w:szCs w:val="28"/>
        </w:rPr>
        <w:t>月</w:t>
      </w:r>
      <w:r>
        <w:rPr>
          <w:rFonts w:ascii="Times New Roman" w:eastAsia="仿宋_GB2312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>
        <w:rPr>
          <w:rFonts w:ascii="Times New Roman" w:eastAsia="仿宋_GB2312" w:cs="Times New Roman"/>
          <w:sz w:val="28"/>
          <w:szCs w:val="28"/>
        </w:rPr>
        <w:t>日印发</w:t>
      </w:r>
    </w:p>
    <w:p w:rsidR="008A1C51" w:rsidRDefault="00F3116B" w:rsidP="00BC5C56">
      <w:pPr>
        <w:spacing w:line="400" w:lineRule="exact"/>
        <w:ind w:firstLineChars="200" w:firstLine="56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napToGrid w:val="0"/>
          <w:sz w:val="28"/>
          <w:szCs w:val="28"/>
        </w:rPr>
        <w:t>（共印</w:t>
      </w:r>
      <w:r>
        <w:rPr>
          <w:rFonts w:ascii="Times New Roman" w:eastAsia="仿宋_GB2312" w:hAnsi="Times New Roman" w:cs="Times New Roman" w:hint="eastAsia"/>
          <w:snapToGrid w:val="0"/>
          <w:sz w:val="28"/>
          <w:szCs w:val="28"/>
        </w:rPr>
        <w:t>20</w:t>
      </w:r>
      <w:r>
        <w:rPr>
          <w:rFonts w:ascii="Times New Roman" w:eastAsia="仿宋_GB2312" w:cs="Times New Roman"/>
          <w:snapToGrid w:val="0"/>
          <w:sz w:val="28"/>
          <w:szCs w:val="28"/>
        </w:rPr>
        <w:t>份）</w:t>
      </w:r>
    </w:p>
    <w:sectPr w:rsidR="008A1C51" w:rsidSect="008A1C51">
      <w:footerReference w:type="even" r:id="rId8"/>
      <w:footerReference w:type="default" r:id="rId9"/>
      <w:pgSz w:w="11906" w:h="16838"/>
      <w:pgMar w:top="2098" w:right="1474" w:bottom="1871" w:left="1587" w:header="851" w:footer="992" w:gutter="0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CB" w:rsidRDefault="009500CB" w:rsidP="008A1C51">
      <w:r>
        <w:separator/>
      </w:r>
    </w:p>
  </w:endnote>
  <w:endnote w:type="continuationSeparator" w:id="0">
    <w:p w:rsidR="009500CB" w:rsidRDefault="009500CB" w:rsidP="008A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9762947"/>
    </w:sdtPr>
    <w:sdtContent>
      <w:p w:rsidR="008A1C51" w:rsidRDefault="00D50EC5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11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C56" w:rsidRPr="00BC5C5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C51" w:rsidRDefault="008A1C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62945"/>
    </w:sdtPr>
    <w:sdtEndPr>
      <w:rPr>
        <w:rFonts w:ascii="Times New Roman" w:hAnsi="Times New Roman" w:cs="Times New Roman"/>
        <w:sz w:val="24"/>
        <w:szCs w:val="24"/>
      </w:rPr>
    </w:sdtEndPr>
    <w:sdtContent>
      <w:p w:rsidR="008A1C51" w:rsidRDefault="00D50EC5">
        <w:pPr>
          <w:pStyle w:val="a5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11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C56" w:rsidRPr="00BC5C5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C51" w:rsidRDefault="008A1C51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CB" w:rsidRDefault="009500CB" w:rsidP="008A1C51">
      <w:r>
        <w:separator/>
      </w:r>
    </w:p>
  </w:footnote>
  <w:footnote w:type="continuationSeparator" w:id="0">
    <w:p w:rsidR="009500CB" w:rsidRDefault="009500CB" w:rsidP="008A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3F5"/>
    <w:rsid w:val="00000924"/>
    <w:rsid w:val="00084CFA"/>
    <w:rsid w:val="000B0C5C"/>
    <w:rsid w:val="000D72BB"/>
    <w:rsid w:val="000D7DFF"/>
    <w:rsid w:val="000E3520"/>
    <w:rsid w:val="0010180A"/>
    <w:rsid w:val="00182546"/>
    <w:rsid w:val="001A75F3"/>
    <w:rsid w:val="001C3427"/>
    <w:rsid w:val="001C7267"/>
    <w:rsid w:val="001E389A"/>
    <w:rsid w:val="00213F87"/>
    <w:rsid w:val="002315B1"/>
    <w:rsid w:val="00266F66"/>
    <w:rsid w:val="002731A4"/>
    <w:rsid w:val="002B4958"/>
    <w:rsid w:val="00360E23"/>
    <w:rsid w:val="00361648"/>
    <w:rsid w:val="0036727C"/>
    <w:rsid w:val="00404628"/>
    <w:rsid w:val="00410492"/>
    <w:rsid w:val="00432AD8"/>
    <w:rsid w:val="0045598A"/>
    <w:rsid w:val="00473AD0"/>
    <w:rsid w:val="0047445D"/>
    <w:rsid w:val="00491367"/>
    <w:rsid w:val="004956F9"/>
    <w:rsid w:val="004A30F3"/>
    <w:rsid w:val="004B4A1E"/>
    <w:rsid w:val="00520EDB"/>
    <w:rsid w:val="00531FDA"/>
    <w:rsid w:val="005462C9"/>
    <w:rsid w:val="00574ED2"/>
    <w:rsid w:val="005A6F88"/>
    <w:rsid w:val="005C2ED6"/>
    <w:rsid w:val="005E1A09"/>
    <w:rsid w:val="005F2352"/>
    <w:rsid w:val="005F3A7A"/>
    <w:rsid w:val="00603C74"/>
    <w:rsid w:val="00604F4D"/>
    <w:rsid w:val="00615363"/>
    <w:rsid w:val="006415EC"/>
    <w:rsid w:val="00645217"/>
    <w:rsid w:val="00650825"/>
    <w:rsid w:val="006F4C30"/>
    <w:rsid w:val="006F6EC9"/>
    <w:rsid w:val="0072766B"/>
    <w:rsid w:val="0077482A"/>
    <w:rsid w:val="00810B35"/>
    <w:rsid w:val="00840B5A"/>
    <w:rsid w:val="00874F19"/>
    <w:rsid w:val="008A1C51"/>
    <w:rsid w:val="008A432F"/>
    <w:rsid w:val="008C0228"/>
    <w:rsid w:val="008E16EC"/>
    <w:rsid w:val="008E7420"/>
    <w:rsid w:val="00912E13"/>
    <w:rsid w:val="0094198B"/>
    <w:rsid w:val="00945997"/>
    <w:rsid w:val="009500CB"/>
    <w:rsid w:val="00965181"/>
    <w:rsid w:val="00984925"/>
    <w:rsid w:val="00995404"/>
    <w:rsid w:val="009A0B19"/>
    <w:rsid w:val="009B6821"/>
    <w:rsid w:val="009C1D0E"/>
    <w:rsid w:val="009C3000"/>
    <w:rsid w:val="00A35AD2"/>
    <w:rsid w:val="00A70329"/>
    <w:rsid w:val="00AB3C55"/>
    <w:rsid w:val="00AB661D"/>
    <w:rsid w:val="00AB765C"/>
    <w:rsid w:val="00B12D23"/>
    <w:rsid w:val="00B84488"/>
    <w:rsid w:val="00B910BE"/>
    <w:rsid w:val="00BC5C56"/>
    <w:rsid w:val="00C27467"/>
    <w:rsid w:val="00C27654"/>
    <w:rsid w:val="00C374C3"/>
    <w:rsid w:val="00C50252"/>
    <w:rsid w:val="00CE6C42"/>
    <w:rsid w:val="00CF3DD1"/>
    <w:rsid w:val="00D30055"/>
    <w:rsid w:val="00D40FD1"/>
    <w:rsid w:val="00D42509"/>
    <w:rsid w:val="00D50EC5"/>
    <w:rsid w:val="00D6416C"/>
    <w:rsid w:val="00D666A5"/>
    <w:rsid w:val="00DB775E"/>
    <w:rsid w:val="00DE0AB2"/>
    <w:rsid w:val="00E65D2B"/>
    <w:rsid w:val="00E733F5"/>
    <w:rsid w:val="00E95D2A"/>
    <w:rsid w:val="00F10AB4"/>
    <w:rsid w:val="00F3116B"/>
    <w:rsid w:val="00F619D3"/>
    <w:rsid w:val="00F62680"/>
    <w:rsid w:val="00F83CEB"/>
    <w:rsid w:val="00F86F37"/>
    <w:rsid w:val="00FB37DD"/>
    <w:rsid w:val="00FB4BDD"/>
    <w:rsid w:val="04B135F4"/>
    <w:rsid w:val="067D019A"/>
    <w:rsid w:val="097366F7"/>
    <w:rsid w:val="0FDB103E"/>
    <w:rsid w:val="12CF3264"/>
    <w:rsid w:val="13234776"/>
    <w:rsid w:val="1E0B60A5"/>
    <w:rsid w:val="1EBD6B6B"/>
    <w:rsid w:val="1EE73AA7"/>
    <w:rsid w:val="1FBB173A"/>
    <w:rsid w:val="23CD053F"/>
    <w:rsid w:val="25571DF9"/>
    <w:rsid w:val="257E4AB2"/>
    <w:rsid w:val="29ED59C1"/>
    <w:rsid w:val="2BD660AA"/>
    <w:rsid w:val="2BFD156B"/>
    <w:rsid w:val="2C6D7A22"/>
    <w:rsid w:val="323C35FE"/>
    <w:rsid w:val="38C17890"/>
    <w:rsid w:val="3B15365A"/>
    <w:rsid w:val="3E15746F"/>
    <w:rsid w:val="42453446"/>
    <w:rsid w:val="446C5B8F"/>
    <w:rsid w:val="458B15C5"/>
    <w:rsid w:val="48553B09"/>
    <w:rsid w:val="4DA02DEB"/>
    <w:rsid w:val="4E430515"/>
    <w:rsid w:val="4FA870BD"/>
    <w:rsid w:val="4FF24497"/>
    <w:rsid w:val="53AD35BC"/>
    <w:rsid w:val="56A90F92"/>
    <w:rsid w:val="588E4848"/>
    <w:rsid w:val="5A3617DD"/>
    <w:rsid w:val="5D5C1873"/>
    <w:rsid w:val="60437B98"/>
    <w:rsid w:val="607B495A"/>
    <w:rsid w:val="63FC3574"/>
    <w:rsid w:val="64D0288C"/>
    <w:rsid w:val="667965F5"/>
    <w:rsid w:val="692A73A1"/>
    <w:rsid w:val="6D813729"/>
    <w:rsid w:val="6F327058"/>
    <w:rsid w:val="729E6774"/>
    <w:rsid w:val="736E0A36"/>
    <w:rsid w:val="73FF45C9"/>
    <w:rsid w:val="75C52F5F"/>
    <w:rsid w:val="775D2B50"/>
    <w:rsid w:val="77EF12DD"/>
    <w:rsid w:val="7F00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A1C51"/>
    <w:pPr>
      <w:ind w:firstLineChars="200" w:firstLine="420"/>
    </w:pPr>
    <w:rPr>
      <w:rFonts w:ascii="仿宋_GB2312" w:eastAsia="仿宋_GB231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8A1C51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8A1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A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A1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8A1C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1">
    <w:name w:val="Heading #3|1_"/>
    <w:basedOn w:val="a0"/>
    <w:link w:val="Heading310"/>
    <w:qFormat/>
    <w:rsid w:val="008A1C51"/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8A1C51"/>
    <w:pPr>
      <w:spacing w:after="500" w:line="590" w:lineRule="exact"/>
      <w:jc w:val="center"/>
      <w:outlineLvl w:val="2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8A1C51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8A1C51"/>
    <w:pPr>
      <w:spacing w:line="437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8A1C51"/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8A1C51"/>
    <w:pPr>
      <w:spacing w:line="437" w:lineRule="auto"/>
      <w:ind w:firstLine="400"/>
      <w:jc w:val="lef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Char1">
    <w:name w:val="页眉 Char"/>
    <w:basedOn w:val="a0"/>
    <w:link w:val="a6"/>
    <w:uiPriority w:val="99"/>
    <w:qFormat/>
    <w:rsid w:val="008A1C5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A1C51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8A1C51"/>
  </w:style>
  <w:style w:type="paragraph" w:styleId="a9">
    <w:name w:val="No Spacing"/>
    <w:uiPriority w:val="1"/>
    <w:qFormat/>
    <w:rsid w:val="008A1C51"/>
    <w:pPr>
      <w:widowControl w:val="0"/>
      <w:jc w:val="both"/>
    </w:pPr>
    <w:rPr>
      <w:kern w:val="2"/>
      <w:sz w:val="21"/>
      <w:szCs w:val="22"/>
    </w:rPr>
  </w:style>
  <w:style w:type="paragraph" w:customStyle="1" w:styleId="MSGENFONTSTYLENAMETEMPLATEROLEMSGENFONTSTYLENAMEBYROLETEXT">
    <w:name w:val="MSG_EN_FONT_STYLE_NAME_TEMPLATE_ROLE MSG_EN_FONT_STYLE_NAME_BY_ROLE_TEXT"/>
    <w:basedOn w:val="a"/>
    <w:uiPriority w:val="99"/>
    <w:unhideWhenUsed/>
    <w:rsid w:val="008A1C51"/>
    <w:pPr>
      <w:shd w:val="clear" w:color="auto" w:fill="FFFFFF"/>
      <w:spacing w:line="240" w:lineRule="atLeast"/>
      <w:jc w:val="center"/>
    </w:pPr>
    <w:rPr>
      <w:rFonts w:ascii="宋体" w:eastAsia="宋体" w:hAnsi="宋体" w:hint="eastAsia"/>
      <w:sz w:val="26"/>
    </w:rPr>
  </w:style>
  <w:style w:type="paragraph" w:styleId="aa">
    <w:name w:val="Balloon Text"/>
    <w:basedOn w:val="a"/>
    <w:link w:val="Char2"/>
    <w:uiPriority w:val="99"/>
    <w:semiHidden/>
    <w:unhideWhenUsed/>
    <w:rsid w:val="009C300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C3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9A840-AF1F-4A8E-BF8A-2678CE8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朱惠芳(朱惠芳:起草)</dc:creator>
  <cp:lastModifiedBy>Administrator</cp:lastModifiedBy>
  <cp:revision>8</cp:revision>
  <cp:lastPrinted>2020-09-15T01:26:00Z</cp:lastPrinted>
  <dcterms:created xsi:type="dcterms:W3CDTF">2020-05-20T05:58:00Z</dcterms:created>
  <dcterms:modified xsi:type="dcterms:W3CDTF">2020-09-15T02:40:00Z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