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075" w:rsidRDefault="00552E79">
      <w:pPr>
        <w:spacing w:line="560" w:lineRule="exact"/>
        <w:rPr>
          <w:rStyle w:val="a7"/>
          <w:rFonts w:ascii="Times New Roman" w:eastAsia="华文中宋" w:hAnsi="Times New Roman"/>
          <w:snapToGrid w:val="0"/>
          <w:sz w:val="32"/>
          <w:szCs w:val="32"/>
        </w:rPr>
      </w:pPr>
      <w:bookmarkStart w:id="0" w:name="_GoBack"/>
      <w:bookmarkEnd w:id="0"/>
      <w:r>
        <w:rPr>
          <w:rFonts w:ascii="Times New Roman" w:eastAsia="仿宋_GB2312" w:hAnsi="Times New Roman"/>
          <w:sz w:val="32"/>
          <w:szCs w:val="32"/>
        </w:rPr>
        <w:t>附件</w:t>
      </w:r>
    </w:p>
    <w:p w:rsidR="00503075" w:rsidRDefault="00552E79">
      <w:pPr>
        <w:jc w:val="center"/>
        <w:rPr>
          <w:rFonts w:ascii="华文中宋" w:eastAsia="华文中宋" w:hAnsi="华文中宋"/>
          <w:b/>
          <w:spacing w:val="-11"/>
          <w:sz w:val="40"/>
        </w:rPr>
      </w:pPr>
      <w:r>
        <w:rPr>
          <w:rFonts w:ascii="华文中宋" w:eastAsia="华文中宋" w:hAnsi="华文中宋" w:hint="eastAsia"/>
          <w:b/>
          <w:spacing w:val="-11"/>
          <w:sz w:val="40"/>
        </w:rPr>
        <w:t>宝山区关于全面推进城市数字化转型的实施意见</w:t>
      </w:r>
    </w:p>
    <w:p w:rsidR="00503075" w:rsidRDefault="00503075">
      <w:pPr>
        <w:pStyle w:val="a0"/>
      </w:pPr>
    </w:p>
    <w:p w:rsidR="00503075" w:rsidRDefault="00552E79">
      <w:pPr>
        <w:pStyle w:val="a6"/>
        <w:spacing w:after="0" w:line="560" w:lineRule="exact"/>
        <w:ind w:firstLineChars="200" w:firstLine="640"/>
        <w:rPr>
          <w:rFonts w:ascii="仿宋_GB2312" w:eastAsia="仿宋_GB2312" w:hAnsi="微软雅黑"/>
          <w:sz w:val="32"/>
        </w:rPr>
      </w:pPr>
      <w:r>
        <w:rPr>
          <w:rFonts w:ascii="仿宋_GB2312" w:eastAsia="仿宋_GB2312" w:hAnsi="微软雅黑" w:hint="eastAsia"/>
          <w:sz w:val="32"/>
        </w:rPr>
        <w:t>为深入贯彻上海市委第十一届十次全会关于“全面推进城市数字化转型，打造具有世界影响力的国际数字之都”的要求和上海市委、市政府《关于全面推进上海城市数字化转型的意见》，结合宝山</w:t>
      </w:r>
      <w:r>
        <w:rPr>
          <w:rFonts w:ascii="Times New Roman" w:eastAsia="仿宋_GB2312" w:hAnsi="Times New Roman" w:cs="Times New Roman" w:hint="eastAsia"/>
          <w:sz w:val="32"/>
          <w:szCs w:val="32"/>
        </w:rPr>
        <w:t>建设上海科创中心主阵地目标</w:t>
      </w:r>
      <w:r>
        <w:rPr>
          <w:rFonts w:ascii="仿宋_GB2312" w:eastAsia="仿宋_GB2312" w:hAnsi="微软雅黑" w:hint="eastAsia"/>
          <w:sz w:val="32"/>
        </w:rPr>
        <w:t>，为加快推进区域城市数字化整体性转型、全方位赋能、革命性重塑，提升城市能级和核心竞争力，构筑宝山未来新的发展战略优势，现就全面推进宝山区城市数字化转型提出如下意见。</w:t>
      </w:r>
    </w:p>
    <w:p w:rsidR="00503075" w:rsidRDefault="00552E79">
      <w:pPr>
        <w:pStyle w:val="a6"/>
        <w:spacing w:after="0" w:line="560" w:lineRule="exact"/>
        <w:ind w:firstLineChars="200" w:firstLine="640"/>
        <w:rPr>
          <w:rFonts w:ascii="黑体" w:eastAsia="黑体" w:hAnsi="黑体"/>
          <w:b/>
          <w:sz w:val="32"/>
        </w:rPr>
      </w:pPr>
      <w:r>
        <w:rPr>
          <w:rStyle w:val="a7"/>
          <w:rFonts w:ascii="黑体" w:eastAsia="黑体" w:hAnsi="黑体" w:hint="eastAsia"/>
          <w:b w:val="0"/>
          <w:sz w:val="32"/>
        </w:rPr>
        <w:t>一、深刻认识全面推进城市数字化转型的重大意义</w:t>
      </w:r>
    </w:p>
    <w:p w:rsidR="00503075" w:rsidRDefault="00552E79">
      <w:pPr>
        <w:pStyle w:val="a6"/>
        <w:spacing w:after="0" w:line="560" w:lineRule="exact"/>
        <w:ind w:firstLineChars="200" w:firstLine="640"/>
        <w:rPr>
          <w:rFonts w:ascii="仿宋_GB2312" w:eastAsia="仿宋_GB2312" w:hAnsi="微软雅黑"/>
          <w:sz w:val="32"/>
        </w:rPr>
      </w:pPr>
      <w:r>
        <w:rPr>
          <w:rFonts w:ascii="仿宋_GB2312" w:eastAsia="仿宋_GB2312" w:hAnsi="微软雅黑" w:hint="eastAsia"/>
          <w:sz w:val="32"/>
        </w:rPr>
        <w:t>数字化转型加快推进物质世界运作与数字世界深度融合，城市发展面临新形势、新机遇、新挑战。要进一步深化思想认识，把握上海在全国首个提出“全面推进城市数字化转型”的战略意义，深刻认清城市数字化转型的重要性和紧迫性，以数字化转型为引领，以自我革命的精神进行场景再造、业务再造、管理再造、服务再造。</w:t>
      </w:r>
    </w:p>
    <w:p w:rsidR="00503075" w:rsidRDefault="00552E79">
      <w:pPr>
        <w:pStyle w:val="a6"/>
        <w:spacing w:after="0" w:line="560" w:lineRule="exact"/>
        <w:ind w:firstLineChars="200" w:firstLine="643"/>
        <w:rPr>
          <w:rFonts w:ascii="仿宋_GB2312" w:eastAsia="仿宋_GB2312" w:hAnsi="微软雅黑"/>
          <w:sz w:val="32"/>
        </w:rPr>
      </w:pPr>
      <w:r>
        <w:rPr>
          <w:rFonts w:ascii="仿宋_GB2312" w:eastAsia="仿宋_GB2312" w:hAnsi="微软雅黑" w:hint="eastAsia"/>
          <w:b/>
          <w:bCs/>
          <w:sz w:val="32"/>
        </w:rPr>
        <w:t>全面推进数字化转型是宝山建设上海市</w:t>
      </w:r>
      <w:proofErr w:type="gramStart"/>
      <w:r>
        <w:rPr>
          <w:rFonts w:ascii="仿宋_GB2312" w:eastAsia="仿宋_GB2312" w:hAnsi="微软雅黑" w:hint="eastAsia"/>
          <w:b/>
          <w:bCs/>
          <w:sz w:val="32"/>
        </w:rPr>
        <w:t>科创中心</w:t>
      </w:r>
      <w:proofErr w:type="gramEnd"/>
      <w:r>
        <w:rPr>
          <w:rFonts w:ascii="仿宋_GB2312" w:eastAsia="仿宋_GB2312" w:hAnsi="微软雅黑" w:hint="eastAsia"/>
          <w:b/>
          <w:bCs/>
          <w:sz w:val="32"/>
        </w:rPr>
        <w:t>主阵地的必然要求。</w:t>
      </w:r>
      <w:r>
        <w:rPr>
          <w:rFonts w:ascii="仿宋_GB2312" w:eastAsia="仿宋_GB2312" w:hAnsi="微软雅黑" w:hint="eastAsia"/>
          <w:sz w:val="32"/>
        </w:rPr>
        <w:t>需要充分发挥数字化转型在牵引产业发展、改善营商环境、转变服务企业方式等方面的重要作用，实现跨越赶超的最好时机，在经济产业的数字化大转型、大变局中加速前进，形成领跑态势，因变而转、以转应变，以崭新的姿态融入全市数字化转型格局中。</w:t>
      </w:r>
      <w:r>
        <w:rPr>
          <w:rFonts w:ascii="仿宋_GB2312" w:eastAsia="仿宋_GB2312" w:hAnsi="微软雅黑" w:hint="eastAsia"/>
          <w:b/>
          <w:bCs/>
          <w:sz w:val="32"/>
        </w:rPr>
        <w:t>全面推进数字化转型是宝山提升城市运行和治理水平的必然要求。</w:t>
      </w:r>
      <w:r>
        <w:rPr>
          <w:rFonts w:ascii="仿宋_GB2312" w:eastAsia="仿宋_GB2312" w:hAnsi="微软雅黑" w:hint="eastAsia"/>
          <w:sz w:val="32"/>
        </w:rPr>
        <w:t>宝山人口规模大、产业结构重、城市运行压力大，</w:t>
      </w:r>
      <w:r>
        <w:rPr>
          <w:rFonts w:ascii="仿宋_GB2312" w:eastAsia="仿宋_GB2312" w:hAnsi="微软雅黑" w:hint="eastAsia"/>
          <w:sz w:val="32"/>
        </w:rPr>
        <w:lastRenderedPageBreak/>
        <w:t>城市建设、发展、运行、治理各方面情形交织、纷繁复杂，必须充分运用数字化方式，以提升效率为主旨，探索社会治理新路子。</w:t>
      </w:r>
      <w:r>
        <w:rPr>
          <w:rFonts w:ascii="仿宋_GB2312" w:eastAsia="仿宋_GB2312" w:hAnsi="微软雅黑" w:hint="eastAsia"/>
          <w:b/>
          <w:bCs/>
          <w:sz w:val="32"/>
        </w:rPr>
        <w:t>全面推进数字化转型是宝山提升民生服务质量的必然要求。</w:t>
      </w:r>
      <w:r>
        <w:rPr>
          <w:rFonts w:ascii="仿宋_GB2312" w:eastAsia="仿宋_GB2312" w:hAnsi="微软雅黑" w:hint="eastAsia"/>
          <w:sz w:val="32"/>
        </w:rPr>
        <w:t>聚焦宝山老龄化、教育资源配给不均衡等难题，需要提出“数字化+”养老、教育、健康等创新解决方案，优化公共资源配置，形成共建共治共享新格局，回应广大居民群众对美好生活的新期待。</w:t>
      </w:r>
    </w:p>
    <w:p w:rsidR="00503075" w:rsidRDefault="00552E79">
      <w:pPr>
        <w:pStyle w:val="a6"/>
        <w:spacing w:after="0" w:line="560" w:lineRule="exact"/>
        <w:ind w:firstLineChars="200" w:firstLine="640"/>
        <w:rPr>
          <w:rFonts w:ascii="仿宋_GB2312" w:eastAsia="仿宋_GB2312" w:hAnsi="微软雅黑"/>
          <w:sz w:val="32"/>
        </w:rPr>
      </w:pPr>
      <w:r>
        <w:rPr>
          <w:rFonts w:ascii="仿宋_GB2312" w:eastAsia="仿宋_GB2312" w:hAnsi="微软雅黑" w:hint="eastAsia"/>
          <w:sz w:val="32"/>
        </w:rPr>
        <w:t>进入城市数字化转型的新发展阶段，必须牢牢把握城市数字化转型这项事关全局、事关长远的重大战略，</w:t>
      </w:r>
      <w:r>
        <w:rPr>
          <w:rFonts w:ascii="仿宋_GB2312" w:eastAsia="仿宋_GB2312" w:hAnsi="微软雅黑"/>
          <w:sz w:val="32"/>
        </w:rPr>
        <w:t>因势而谋、顺势而为</w:t>
      </w:r>
      <w:r>
        <w:rPr>
          <w:rFonts w:ascii="仿宋_GB2312" w:eastAsia="仿宋_GB2312" w:hAnsi="微软雅黑" w:hint="eastAsia"/>
          <w:sz w:val="32"/>
        </w:rPr>
        <w:t>、乘势而上，实现整体性转变、全方位赋能、革命性重塑，推进城市数字化转型跃上新台阶，谱写宝山新时代新发展的新篇章。</w:t>
      </w:r>
    </w:p>
    <w:p w:rsidR="00503075" w:rsidRDefault="00552E79">
      <w:pPr>
        <w:pStyle w:val="a6"/>
        <w:spacing w:after="0" w:line="560" w:lineRule="exact"/>
        <w:ind w:firstLineChars="200" w:firstLine="640"/>
        <w:rPr>
          <w:rStyle w:val="a7"/>
          <w:rFonts w:ascii="黑体" w:eastAsia="黑体" w:hAnsi="黑体"/>
          <w:b w:val="0"/>
          <w:sz w:val="32"/>
        </w:rPr>
      </w:pPr>
      <w:r>
        <w:rPr>
          <w:rStyle w:val="a7"/>
          <w:rFonts w:ascii="黑体" w:eastAsia="黑体" w:hAnsi="黑体" w:hint="eastAsia"/>
          <w:b w:val="0"/>
          <w:sz w:val="32"/>
        </w:rPr>
        <w:t>二、城市数字化转型总体要求</w:t>
      </w:r>
    </w:p>
    <w:p w:rsidR="00503075" w:rsidRDefault="00552E79">
      <w:pPr>
        <w:pStyle w:val="a6"/>
        <w:spacing w:after="0" w:line="560" w:lineRule="exact"/>
        <w:ind w:firstLineChars="200" w:firstLine="640"/>
        <w:rPr>
          <w:rFonts w:ascii="仿宋_GB2312" w:eastAsia="仿宋_GB2312" w:hAnsi="微软雅黑"/>
          <w:sz w:val="32"/>
        </w:rPr>
      </w:pPr>
      <w:r>
        <w:rPr>
          <w:rFonts w:ascii="Times New Roman" w:eastAsia="仿宋_GB2312" w:hAnsi="Times New Roman" w:cs="Times New Roman"/>
          <w:sz w:val="32"/>
          <w:szCs w:val="32"/>
        </w:rPr>
        <w:t>坚持创新在现代化建设全局中的核心地位，</w:t>
      </w:r>
      <w:r>
        <w:rPr>
          <w:rFonts w:ascii="仿宋_GB2312" w:eastAsia="仿宋_GB2312" w:hAnsi="微软雅黑" w:hint="eastAsia"/>
          <w:sz w:val="32"/>
        </w:rPr>
        <w:t>把数字化转型作为宝山建设</w:t>
      </w:r>
      <w:proofErr w:type="gramStart"/>
      <w:r>
        <w:rPr>
          <w:rFonts w:ascii="仿宋_GB2312" w:eastAsia="仿宋_GB2312" w:hAnsi="微软雅黑" w:hint="eastAsia"/>
          <w:sz w:val="32"/>
        </w:rPr>
        <w:t>科创主</w:t>
      </w:r>
      <w:proofErr w:type="gramEnd"/>
      <w:r>
        <w:rPr>
          <w:rFonts w:ascii="仿宋_GB2312" w:eastAsia="仿宋_GB2312" w:hAnsi="微软雅黑" w:hint="eastAsia"/>
          <w:sz w:val="32"/>
        </w:rPr>
        <w:t>阵地和“十四五”产业经济发展的攻坚利器，从“城市是生命体、有机体”的全局出发，统筹推进城市经济、生活、治理全面数字化转型，加快推动宝山信息化建设由“量变”向“质变”转变、由供给侧引领向需求侧发力转变、由技术单点突破向数字城市整体性突破转变。用数字化方式创造性地解决宝山区当前在产业发展、生活服务和城市治理中存在的难点和痛点，推进数字经济成为建设</w:t>
      </w:r>
      <w:proofErr w:type="gramStart"/>
      <w:r>
        <w:rPr>
          <w:rFonts w:ascii="仿宋_GB2312" w:eastAsia="仿宋_GB2312" w:hAnsi="微软雅黑" w:hint="eastAsia"/>
          <w:sz w:val="32"/>
        </w:rPr>
        <w:t>科创中心</w:t>
      </w:r>
      <w:proofErr w:type="gramEnd"/>
      <w:r>
        <w:rPr>
          <w:rFonts w:ascii="仿宋_GB2312" w:eastAsia="仿宋_GB2312" w:hAnsi="微软雅黑" w:hint="eastAsia"/>
          <w:sz w:val="32"/>
        </w:rPr>
        <w:t>主阵地与“北转型”的新动力，使市民的体验感和获得</w:t>
      </w:r>
      <w:proofErr w:type="gramStart"/>
      <w:r>
        <w:rPr>
          <w:rFonts w:ascii="仿宋_GB2312" w:eastAsia="仿宋_GB2312" w:hAnsi="微软雅黑" w:hint="eastAsia"/>
          <w:sz w:val="32"/>
        </w:rPr>
        <w:t>感显著</w:t>
      </w:r>
      <w:proofErr w:type="gramEnd"/>
      <w:r>
        <w:rPr>
          <w:rFonts w:ascii="仿宋_GB2312" w:eastAsia="仿宋_GB2312" w:hAnsi="微软雅黑" w:hint="eastAsia"/>
          <w:sz w:val="32"/>
        </w:rPr>
        <w:t>提升。</w:t>
      </w:r>
    </w:p>
    <w:p w:rsidR="00503075" w:rsidRDefault="00552E79">
      <w:pPr>
        <w:pStyle w:val="Style12"/>
        <w:spacing w:line="560" w:lineRule="exact"/>
        <w:ind w:firstLine="640"/>
        <w:rPr>
          <w:rFonts w:ascii="仿宋_GB2312" w:eastAsia="仿宋_GB2312" w:hAnsi="微软雅黑"/>
          <w:sz w:val="32"/>
        </w:rPr>
      </w:pPr>
      <w:r>
        <w:rPr>
          <w:rFonts w:ascii="仿宋_GB2312" w:eastAsia="仿宋_GB2312" w:hAnsi="微软雅黑" w:cs="宋体" w:hint="eastAsia"/>
          <w:kern w:val="0"/>
          <w:sz w:val="32"/>
        </w:rPr>
        <w:t>到2025年，宝山推进产业经济、生活服务、社会治理三大领域数字化转型取得显著成效，建成泛在鲜活的城市数字化底板，基本解决产业赋能、城市大安全、“一网通办”“一网统管”深</w:t>
      </w:r>
      <w:r>
        <w:rPr>
          <w:rFonts w:ascii="仿宋_GB2312" w:eastAsia="仿宋_GB2312" w:hAnsi="微软雅黑" w:cs="宋体" w:hint="eastAsia"/>
          <w:kern w:val="0"/>
          <w:sz w:val="32"/>
        </w:rPr>
        <w:lastRenderedPageBreak/>
        <w:t>度融合三个关键领域中的突出问题，形成5个“城市数字化转型示范微生态圈”</w:t>
      </w:r>
      <w:r>
        <w:rPr>
          <w:rStyle w:val="a8"/>
          <w:rFonts w:ascii="仿宋_GB2312" w:eastAsia="仿宋_GB2312" w:hAnsi="微软雅黑" w:cs="宋体"/>
          <w:kern w:val="0"/>
          <w:sz w:val="32"/>
        </w:rPr>
        <w:footnoteReference w:id="1"/>
      </w:r>
      <w:r>
        <w:rPr>
          <w:rFonts w:ascii="仿宋_GB2312" w:eastAsia="仿宋_GB2312" w:hAnsi="微软雅黑" w:cs="宋体" w:hint="eastAsia"/>
          <w:kern w:val="0"/>
          <w:sz w:val="32"/>
        </w:rPr>
        <w:t>，构建形成场景牵引、数据赋能、共治</w:t>
      </w:r>
      <w:r>
        <w:rPr>
          <w:rFonts w:ascii="仿宋_GB2312" w:eastAsia="仿宋_GB2312" w:hAnsi="仿宋_GB2312" w:cs="仿宋_GB2312" w:hint="eastAsia"/>
          <w:bCs/>
          <w:sz w:val="32"/>
          <w:szCs w:val="32"/>
        </w:rPr>
        <w:t>共享</w:t>
      </w:r>
      <w:r>
        <w:rPr>
          <w:rFonts w:ascii="仿宋_GB2312" w:eastAsia="仿宋_GB2312" w:hAnsi="微软雅黑" w:cs="宋体" w:hint="eastAsia"/>
          <w:kern w:val="0"/>
          <w:sz w:val="32"/>
        </w:rPr>
        <w:t>、数字孪生</w:t>
      </w:r>
      <w:r>
        <w:rPr>
          <w:rFonts w:ascii="仿宋_GB2312" w:eastAsia="仿宋_GB2312" w:hAnsi="仿宋_GB2312" w:cs="仿宋_GB2312" w:hint="eastAsia"/>
          <w:bCs/>
          <w:sz w:val="32"/>
          <w:szCs w:val="32"/>
        </w:rPr>
        <w:t>的数字城市框架，实现数字经济创新活跃、数字治理精细精准、数字生活智慧温暖、</w:t>
      </w:r>
      <w:r>
        <w:rPr>
          <w:rFonts w:ascii="仿宋_GB2312" w:eastAsia="仿宋_GB2312" w:hAnsiTheme="minorEastAsia" w:cs="宋体" w:hint="eastAsia"/>
          <w:color w:val="000000" w:themeColor="text1"/>
          <w:kern w:val="0"/>
          <w:sz w:val="32"/>
          <w:szCs w:val="32"/>
        </w:rPr>
        <w:t>数字政务</w:t>
      </w:r>
      <w:r>
        <w:rPr>
          <w:rFonts w:ascii="仿宋_GB2312" w:eastAsia="仿宋_GB2312" w:hAnsi="仿宋_GB2312" w:cs="仿宋_GB2312" w:hint="eastAsia"/>
          <w:bCs/>
          <w:sz w:val="32"/>
          <w:szCs w:val="32"/>
        </w:rPr>
        <w:t>高效</w:t>
      </w:r>
      <w:r>
        <w:rPr>
          <w:rFonts w:ascii="仿宋_GB2312" w:eastAsia="仿宋_GB2312" w:hAnsiTheme="minorEastAsia" w:cs="宋体" w:hint="eastAsia"/>
          <w:color w:val="000000" w:themeColor="text1"/>
          <w:kern w:val="0"/>
          <w:sz w:val="32"/>
          <w:szCs w:val="32"/>
        </w:rPr>
        <w:t>协同，城市数字化转型发展水平迈进上海市先进行列</w:t>
      </w:r>
      <w:r>
        <w:rPr>
          <w:rFonts w:ascii="仿宋_GB2312" w:eastAsia="仿宋_GB2312" w:hAnsi="仿宋_GB2312" w:cs="仿宋_GB2312" w:hint="eastAsia"/>
          <w:bCs/>
          <w:sz w:val="32"/>
          <w:szCs w:val="32"/>
        </w:rPr>
        <w:t>。到2035年，宝山成为上海打造具有世界影响力全球数字城市的重要一翼，形成适应现代化城市特征的数字治理新模式和数字生活新范式。</w:t>
      </w:r>
    </w:p>
    <w:p w:rsidR="00503075" w:rsidRDefault="00552E79">
      <w:pPr>
        <w:pStyle w:val="a6"/>
        <w:spacing w:after="0" w:line="560" w:lineRule="exact"/>
        <w:ind w:firstLineChars="200" w:firstLine="640"/>
        <w:rPr>
          <w:rStyle w:val="a7"/>
          <w:rFonts w:ascii="黑体" w:eastAsia="黑体" w:hAnsi="黑体"/>
          <w:b w:val="0"/>
          <w:sz w:val="32"/>
        </w:rPr>
      </w:pPr>
      <w:r>
        <w:rPr>
          <w:rStyle w:val="a7"/>
          <w:rFonts w:ascii="黑体" w:eastAsia="黑体" w:hAnsi="黑体" w:hint="eastAsia"/>
          <w:b w:val="0"/>
          <w:sz w:val="32"/>
        </w:rPr>
        <w:t>三、城市数字化转型的主要任务</w:t>
      </w:r>
    </w:p>
    <w:p w:rsidR="00503075" w:rsidRDefault="00552E79">
      <w:pPr>
        <w:pStyle w:val="a6"/>
        <w:spacing w:after="0" w:line="560" w:lineRule="exact"/>
        <w:ind w:firstLineChars="200" w:firstLine="643"/>
        <w:rPr>
          <w:rStyle w:val="a7"/>
          <w:rFonts w:ascii="楷体_GB2312" w:eastAsia="楷体_GB2312" w:hAnsi="微软雅黑"/>
          <w:sz w:val="32"/>
        </w:rPr>
      </w:pPr>
      <w:r>
        <w:rPr>
          <w:rStyle w:val="a7"/>
          <w:rFonts w:ascii="楷体_GB2312" w:eastAsia="楷体_GB2312" w:hAnsi="微软雅黑" w:hint="eastAsia"/>
          <w:sz w:val="32"/>
        </w:rPr>
        <w:t>（一）坚持整体性转变，推动“经济、生活、治理”全面数字化转型</w:t>
      </w:r>
    </w:p>
    <w:p w:rsidR="00503075" w:rsidRDefault="00552E79">
      <w:pPr>
        <w:pStyle w:val="a6"/>
        <w:spacing w:after="0" w:line="560" w:lineRule="exact"/>
        <w:ind w:firstLineChars="200" w:firstLine="640"/>
        <w:rPr>
          <w:rFonts w:ascii="仿宋_GB2312" w:eastAsia="仿宋_GB2312" w:hAnsi="微软雅黑"/>
          <w:sz w:val="32"/>
        </w:rPr>
      </w:pPr>
      <w:r>
        <w:rPr>
          <w:rFonts w:ascii="仿宋_GB2312" w:eastAsia="仿宋_GB2312" w:hAnsi="微软雅黑" w:hint="eastAsia"/>
          <w:sz w:val="32"/>
        </w:rPr>
        <w:t>紧紧围绕区委、区政府把宝山建成上海</w:t>
      </w:r>
      <w:proofErr w:type="gramStart"/>
      <w:r>
        <w:rPr>
          <w:rFonts w:ascii="仿宋_GB2312" w:eastAsia="仿宋_GB2312" w:hAnsi="微软雅黑" w:hint="eastAsia"/>
          <w:sz w:val="32"/>
        </w:rPr>
        <w:t>科创主</w:t>
      </w:r>
      <w:proofErr w:type="gramEnd"/>
      <w:r>
        <w:rPr>
          <w:rFonts w:ascii="仿宋_GB2312" w:eastAsia="仿宋_GB2312" w:hAnsi="微软雅黑" w:hint="eastAsia"/>
          <w:sz w:val="32"/>
        </w:rPr>
        <w:t>阵地的核心战略目标，强化系统集成、场景牵引、整体提升，实现经济数字化形成新供给、生活数字化满足新需求、治理数字化优化新环境，推动三大领域相互协同、互为促进，整体推进城市数字化转型，加快</w:t>
      </w:r>
      <w:r>
        <w:rPr>
          <w:rFonts w:ascii="仿宋_GB2312" w:eastAsia="仿宋_GB2312" w:hAnsi="微软雅黑"/>
          <w:sz w:val="32"/>
        </w:rPr>
        <w:t>向高质量发展、高品质生活、高效能治理发展目标迈进</w:t>
      </w:r>
      <w:r>
        <w:rPr>
          <w:rFonts w:ascii="仿宋_GB2312" w:eastAsia="仿宋_GB2312" w:hAnsi="微软雅黑" w:hint="eastAsia"/>
          <w:sz w:val="32"/>
        </w:rPr>
        <w:t>。</w:t>
      </w:r>
    </w:p>
    <w:p w:rsidR="00503075" w:rsidRDefault="00552E79">
      <w:pPr>
        <w:spacing w:line="560" w:lineRule="exact"/>
        <w:ind w:firstLineChars="200" w:firstLine="643"/>
        <w:rPr>
          <w:rFonts w:ascii="仿宋_GB2312" w:eastAsia="仿宋_GB2312" w:hAnsiTheme="minorEastAsia"/>
          <w:bCs/>
          <w:color w:val="000000" w:themeColor="text1"/>
          <w:sz w:val="32"/>
          <w:szCs w:val="32"/>
        </w:rPr>
      </w:pPr>
      <w:r>
        <w:rPr>
          <w:rFonts w:ascii="仿宋_GB2312" w:eastAsia="仿宋_GB2312" w:hAnsi="微软雅黑" w:hint="eastAsia"/>
          <w:b/>
          <w:sz w:val="32"/>
        </w:rPr>
        <w:t>1、</w:t>
      </w:r>
      <w:proofErr w:type="gramStart"/>
      <w:r>
        <w:rPr>
          <w:rFonts w:ascii="仿宋_GB2312" w:eastAsia="仿宋_GB2312" w:hAnsi="微软雅黑" w:hint="eastAsia"/>
          <w:b/>
          <w:sz w:val="32"/>
        </w:rPr>
        <w:t>聚焦科创中心</w:t>
      </w:r>
      <w:proofErr w:type="gramEnd"/>
      <w:r>
        <w:rPr>
          <w:rFonts w:ascii="仿宋_GB2312" w:eastAsia="仿宋_GB2312" w:hAnsi="微软雅黑" w:hint="eastAsia"/>
          <w:b/>
          <w:sz w:val="32"/>
        </w:rPr>
        <w:t>主阵地，推动产业经济数字化转型。</w:t>
      </w:r>
      <w:r>
        <w:rPr>
          <w:rFonts w:ascii="仿宋_GB2312" w:eastAsia="仿宋_GB2312" w:hAnsi="黑体" w:cs="黑体" w:hint="eastAsia"/>
          <w:b/>
          <w:bCs/>
          <w:sz w:val="32"/>
        </w:rPr>
        <w:t>一是推动企业数字化转型</w:t>
      </w:r>
      <w:r>
        <w:rPr>
          <w:rFonts w:ascii="仿宋_GB2312" w:eastAsia="仿宋_GB2312" w:hAnsi="Times New Roman" w:hint="eastAsia"/>
          <w:b/>
          <w:sz w:val="32"/>
          <w:szCs w:val="32"/>
        </w:rPr>
        <w:t>。</w:t>
      </w:r>
      <w:r>
        <w:rPr>
          <w:rFonts w:ascii="Times New Roman" w:eastAsia="仿宋_GB2312" w:hAnsi="Times New Roman" w:hint="eastAsia"/>
          <w:sz w:val="32"/>
          <w:szCs w:val="32"/>
        </w:rPr>
        <w:t>推动企业上云上平台，支持企业依托云平台实现研发设计、测试实验、生产制造、物流配送、售后服务等生产能力，大幅降低生产成本，引导小</w:t>
      </w:r>
      <w:proofErr w:type="gramStart"/>
      <w:r>
        <w:rPr>
          <w:rFonts w:ascii="Times New Roman" w:eastAsia="仿宋_GB2312" w:hAnsi="Times New Roman" w:hint="eastAsia"/>
          <w:sz w:val="32"/>
          <w:szCs w:val="32"/>
        </w:rPr>
        <w:t>微科创</w:t>
      </w:r>
      <w:proofErr w:type="gramEnd"/>
      <w:r>
        <w:rPr>
          <w:rFonts w:ascii="Times New Roman" w:eastAsia="仿宋_GB2312" w:hAnsi="Times New Roman" w:hint="eastAsia"/>
          <w:sz w:val="32"/>
          <w:szCs w:val="32"/>
        </w:rPr>
        <w:t>企业形成数字驱动、</w:t>
      </w:r>
      <w:r>
        <w:rPr>
          <w:rFonts w:ascii="Times New Roman" w:eastAsia="仿宋_GB2312" w:hAnsi="Times New Roman" w:hint="eastAsia"/>
          <w:sz w:val="32"/>
          <w:szCs w:val="32"/>
        </w:rPr>
        <w:lastRenderedPageBreak/>
        <w:t>网络协同、共享发展的制造业新生态。做实做强</w:t>
      </w:r>
      <w:r>
        <w:rPr>
          <w:rFonts w:ascii="Times New Roman" w:hAnsi="Times New Roman"/>
          <w:sz w:val="32"/>
          <w:szCs w:val="32"/>
        </w:rPr>
        <w:t>“</w:t>
      </w:r>
      <w:r>
        <w:rPr>
          <w:rFonts w:ascii="Times New Roman" w:eastAsia="仿宋_GB2312" w:hAnsi="Times New Roman" w:hint="eastAsia"/>
          <w:sz w:val="32"/>
          <w:szCs w:val="32"/>
        </w:rPr>
        <w:t>中国产业互联网创新实践区</w:t>
      </w:r>
      <w:r>
        <w:rPr>
          <w:rFonts w:ascii="Times New Roman" w:hAnsi="Times New Roman"/>
          <w:sz w:val="32"/>
          <w:szCs w:val="32"/>
        </w:rPr>
        <w:t>”</w:t>
      </w:r>
      <w:r>
        <w:rPr>
          <w:rFonts w:ascii="Times New Roman" w:eastAsia="仿宋_GB2312" w:hAnsi="Times New Roman" w:hint="eastAsia"/>
          <w:sz w:val="32"/>
          <w:szCs w:val="32"/>
        </w:rPr>
        <w:t>，提升全国最大</w:t>
      </w:r>
      <w:proofErr w:type="gramStart"/>
      <w:r>
        <w:rPr>
          <w:rFonts w:ascii="Times New Roman" w:eastAsia="仿宋_GB2312" w:hAnsi="Times New Roman" w:hint="eastAsia"/>
          <w:sz w:val="32"/>
          <w:szCs w:val="32"/>
        </w:rPr>
        <w:t>钢铁电</w:t>
      </w:r>
      <w:proofErr w:type="gramEnd"/>
      <w:r>
        <w:rPr>
          <w:rFonts w:ascii="Times New Roman" w:eastAsia="仿宋_GB2312" w:hAnsi="Times New Roman" w:hint="eastAsia"/>
          <w:sz w:val="32"/>
          <w:szCs w:val="32"/>
        </w:rPr>
        <w:t>商平台影响力。</w:t>
      </w:r>
      <w:r>
        <w:rPr>
          <w:rFonts w:eastAsia="仿宋_GB2312"/>
          <w:sz w:val="32"/>
          <w:szCs w:val="32"/>
        </w:rPr>
        <w:t>聚焦柔性制造、云制造、共享制造等新制造模式</w:t>
      </w:r>
      <w:r>
        <w:rPr>
          <w:rFonts w:eastAsia="仿宋_GB2312" w:hint="eastAsia"/>
          <w:sz w:val="32"/>
          <w:szCs w:val="32"/>
        </w:rPr>
        <w:t>，</w:t>
      </w:r>
      <w:r>
        <w:rPr>
          <w:rFonts w:eastAsia="仿宋_GB2312"/>
          <w:sz w:val="32"/>
          <w:szCs w:val="32"/>
        </w:rPr>
        <w:t>强化柔性化生产能力和数字化基础支撑，</w:t>
      </w:r>
      <w:r>
        <w:rPr>
          <w:rFonts w:ascii="Times New Roman" w:eastAsia="仿宋_GB2312" w:hAnsi="Times New Roman" w:hint="eastAsia"/>
          <w:sz w:val="32"/>
          <w:szCs w:val="32"/>
        </w:rPr>
        <w:t>推进传统产业数字化转型升级，推动产业形态</w:t>
      </w:r>
      <w:r>
        <w:rPr>
          <w:rFonts w:ascii="Times New Roman" w:hAnsi="Times New Roman"/>
          <w:sz w:val="32"/>
          <w:szCs w:val="32"/>
        </w:rPr>
        <w:t>“</w:t>
      </w:r>
      <w:r>
        <w:rPr>
          <w:rFonts w:ascii="Times New Roman" w:eastAsia="仿宋_GB2312" w:hAnsi="Times New Roman" w:hint="eastAsia"/>
          <w:sz w:val="32"/>
          <w:szCs w:val="32"/>
        </w:rPr>
        <w:t>由重向轻</w:t>
      </w:r>
      <w:r>
        <w:rPr>
          <w:rFonts w:ascii="Times New Roman" w:hAnsi="Times New Roman"/>
          <w:sz w:val="32"/>
          <w:szCs w:val="32"/>
        </w:rPr>
        <w:t>”</w:t>
      </w:r>
      <w:r>
        <w:rPr>
          <w:rFonts w:ascii="Times New Roman" w:eastAsia="仿宋_GB2312" w:hAnsi="Times New Roman" w:hint="eastAsia"/>
          <w:sz w:val="32"/>
          <w:szCs w:val="32"/>
        </w:rPr>
        <w:t>转变，形成一批在上海市乃至全国具有影响力的创新型领军企业，发挥数字化转型引领作用。</w:t>
      </w:r>
      <w:r>
        <w:rPr>
          <w:rFonts w:ascii="仿宋_GB2312" w:eastAsia="仿宋_GB2312" w:hAnsi="黑体" w:cs="黑体" w:hint="eastAsia"/>
          <w:b/>
          <w:bCs/>
          <w:sz w:val="32"/>
        </w:rPr>
        <w:t>二是统筹产业服务资源，建设数字化平台。</w:t>
      </w:r>
      <w:r>
        <w:rPr>
          <w:rFonts w:ascii="仿宋_GB2312" w:eastAsia="仿宋_GB2312" w:hAnsiTheme="minorEastAsia" w:cs="宋体" w:hint="eastAsia"/>
          <w:kern w:val="0"/>
          <w:sz w:val="32"/>
          <w:szCs w:val="32"/>
        </w:rPr>
        <w:t>建成全区智慧产业服务的核心平台，统筹全区经济发展资源，提供产业导入、产业转型的支撑服务。推进经济运行数字化、招商服务平台化，实现主要经济指标智能化分析与可视化、</w:t>
      </w:r>
      <w:r>
        <w:rPr>
          <w:rFonts w:ascii="仿宋_GB2312" w:eastAsia="仿宋_GB2312" w:hAnsiTheme="minorEastAsia" w:hint="eastAsia"/>
          <w:color w:val="000000" w:themeColor="text1"/>
          <w:sz w:val="32"/>
          <w:szCs w:val="32"/>
        </w:rPr>
        <w:t>产业地图动态化、政策语言市场化，并运用大数据和人工智能技术提升区域产业发展监测、预警、统计和决策功能。</w:t>
      </w:r>
      <w:r>
        <w:rPr>
          <w:rFonts w:ascii="仿宋_GB2312" w:eastAsia="仿宋_GB2312" w:hAnsiTheme="minorEastAsia" w:cs="宋体" w:hint="eastAsia"/>
          <w:kern w:val="0"/>
          <w:sz w:val="32"/>
          <w:szCs w:val="32"/>
        </w:rPr>
        <w:t>做到全区数字化产业发展资源有效统筹、产业发展政策及时共享、产业发展需求有效对接，提供全生命周期的企业服务和便利通道。</w:t>
      </w:r>
      <w:r>
        <w:rPr>
          <w:rFonts w:ascii="仿宋_GB2312" w:eastAsia="仿宋_GB2312" w:hAnsi="黑体" w:cs="黑体" w:hint="eastAsia"/>
          <w:b/>
          <w:bCs/>
          <w:sz w:val="32"/>
        </w:rPr>
        <w:t>三是推进新基建部署，支撑数字经济布局。</w:t>
      </w:r>
      <w:r>
        <w:rPr>
          <w:rFonts w:ascii="仿宋_GB2312" w:eastAsia="仿宋_GB2312" w:hAnsi="微软雅黑" w:hint="eastAsia"/>
          <w:sz w:val="32"/>
        </w:rPr>
        <w:t>统筹布局新型基础设施建设，推动5G等信息化基础设施建设，实现重点产业板块的千兆宽带和5G网络深度覆盖。推动5G创新场景应用和产业链，通过“新基建”支撑企业数字化转型，全方位引领和推动区域产业转型升级、激发经济新活力。</w:t>
      </w:r>
      <w:r>
        <w:rPr>
          <w:rFonts w:ascii="仿宋_GB2312" w:eastAsia="仿宋_GB2312" w:hAnsi="黑体" w:cs="黑体" w:hint="eastAsia"/>
          <w:b/>
          <w:bCs/>
          <w:sz w:val="32"/>
        </w:rPr>
        <w:t>四是开放数字化场景，吸引企业多元化投入。</w:t>
      </w:r>
      <w:r>
        <w:rPr>
          <w:rFonts w:ascii="仿宋_GB2312" w:eastAsia="仿宋_GB2312" w:hAnsi="微软雅黑" w:hint="eastAsia"/>
          <w:sz w:val="32"/>
        </w:rPr>
        <w:t>将城市数字化场景需求向社会开放，大力引导社会资源参与城市数字化转型和场景建设，并充分链接产业发展的赋能平台，链接城市治理的智慧平台，链接美好生活的服务平台，支撑企业在数字化转型过程中发挥更大作用。</w:t>
      </w:r>
      <w:r>
        <w:rPr>
          <w:rFonts w:ascii="仿宋_GB2312" w:eastAsia="仿宋_GB2312" w:hAnsi="黑体" w:cs="黑体" w:hint="eastAsia"/>
          <w:b/>
          <w:bCs/>
          <w:sz w:val="32"/>
        </w:rPr>
        <w:t>五是不断优化营商环境。</w:t>
      </w:r>
      <w:r>
        <w:rPr>
          <w:rFonts w:ascii="仿宋_GB2312" w:eastAsia="仿宋_GB2312" w:hAnsiTheme="minorEastAsia" w:hint="eastAsia"/>
          <w:color w:val="000000" w:themeColor="text1"/>
          <w:sz w:val="32"/>
          <w:szCs w:val="32"/>
        </w:rPr>
        <w:t>打造宝山企业服务“数字店小二”，做好企业政策“闪送</w:t>
      </w:r>
      <w:r>
        <w:rPr>
          <w:rFonts w:ascii="仿宋_GB2312" w:eastAsia="仿宋_GB2312" w:hAnsiTheme="minorEastAsia" w:hint="eastAsia"/>
          <w:color w:val="000000" w:themeColor="text1"/>
          <w:sz w:val="32"/>
          <w:szCs w:val="32"/>
        </w:rPr>
        <w:lastRenderedPageBreak/>
        <w:t>员”、服务“导航员”和诉求“督办员”，实现服务匹配智能化。探索建立区域性营商环境指数。</w:t>
      </w:r>
    </w:p>
    <w:p w:rsidR="00503075" w:rsidRDefault="00552E79">
      <w:pPr>
        <w:spacing w:line="560" w:lineRule="exact"/>
        <w:ind w:firstLineChars="200" w:firstLine="643"/>
        <w:rPr>
          <w:rFonts w:ascii="仿宋_GB2312" w:eastAsia="仿宋_GB2312" w:hAnsi="微软雅黑"/>
          <w:b/>
          <w:sz w:val="32"/>
        </w:rPr>
      </w:pPr>
      <w:r>
        <w:rPr>
          <w:rFonts w:ascii="仿宋_GB2312" w:eastAsia="仿宋_GB2312" w:hAnsi="微软雅黑" w:hint="eastAsia"/>
          <w:b/>
          <w:sz w:val="32"/>
        </w:rPr>
        <w:t>2、提升城市生活品质，推动生活服务数字化转型。</w:t>
      </w:r>
      <w:r>
        <w:rPr>
          <w:rFonts w:ascii="仿宋_GB2312" w:eastAsia="仿宋_GB2312" w:hAnsi="微软雅黑" w:hint="eastAsia"/>
          <w:bCs/>
          <w:sz w:val="32"/>
        </w:rPr>
        <w:t>聚集智慧养老和“15分钟</w:t>
      </w:r>
      <w:r>
        <w:rPr>
          <w:rFonts w:ascii="仿宋_GB2312" w:eastAsia="仿宋_GB2312" w:hAnsi="微软雅黑"/>
          <w:bCs/>
          <w:sz w:val="32"/>
        </w:rPr>
        <w:t>社区</w:t>
      </w:r>
      <w:r>
        <w:rPr>
          <w:rFonts w:ascii="仿宋_GB2312" w:eastAsia="仿宋_GB2312" w:hAnsi="微软雅黑" w:hint="eastAsia"/>
          <w:bCs/>
          <w:sz w:val="32"/>
        </w:rPr>
        <w:t>生活圈”，打造智能高效的数字化公共服务体系，提升城市生活品质。</w:t>
      </w:r>
      <w:r>
        <w:rPr>
          <w:rFonts w:ascii="仿宋_GB2312" w:eastAsia="仿宋_GB2312" w:hAnsi="黑体" w:cs="黑体" w:hint="eastAsia"/>
          <w:b/>
          <w:color w:val="000000" w:themeColor="text1"/>
          <w:sz w:val="32"/>
          <w:szCs w:val="32"/>
        </w:rPr>
        <w:t>一是数字赋能提升基础保障水平。</w:t>
      </w:r>
      <w:r>
        <w:rPr>
          <w:rFonts w:ascii="仿宋_GB2312" w:eastAsia="仿宋_GB2312" w:hAnsi="微软雅黑" w:hint="eastAsia"/>
          <w:sz w:val="32"/>
        </w:rPr>
        <w:t>结合新型信息技术，以数字化方式推动养老、教育、卫生、就业、社保等基本民生保障更均衡、更精准、更充分，打造一批“互联网+”医院、人工智能养老实验社区和数字校园，形成一批社区服务数字化示范场景。</w:t>
      </w:r>
      <w:r>
        <w:rPr>
          <w:rFonts w:ascii="仿宋_GB2312" w:eastAsia="仿宋_GB2312" w:hAnsi="黑体" w:cs="黑体" w:hint="eastAsia"/>
          <w:b/>
          <w:color w:val="000000" w:themeColor="text1"/>
          <w:sz w:val="32"/>
          <w:szCs w:val="32"/>
        </w:rPr>
        <w:t>二是数字赋能提升文化生活质量。</w:t>
      </w:r>
      <w:r>
        <w:rPr>
          <w:rFonts w:ascii="仿宋_GB2312" w:eastAsia="仿宋_GB2312" w:hAnsi="微软雅黑" w:hint="eastAsia"/>
          <w:sz w:val="32"/>
        </w:rPr>
        <w:t>推进文娱、体育、出行、旅游等质量民生服务数字化新模式、新业</w:t>
      </w:r>
      <w:proofErr w:type="gramStart"/>
      <w:r>
        <w:rPr>
          <w:rFonts w:ascii="仿宋_GB2312" w:eastAsia="仿宋_GB2312" w:hAnsi="微软雅黑" w:hint="eastAsia"/>
          <w:sz w:val="32"/>
        </w:rPr>
        <w:t>态健康</w:t>
      </w:r>
      <w:proofErr w:type="gramEnd"/>
      <w:r>
        <w:rPr>
          <w:rFonts w:ascii="仿宋_GB2312" w:eastAsia="仿宋_GB2312" w:hAnsi="微软雅黑" w:hint="eastAsia"/>
          <w:sz w:val="32"/>
        </w:rPr>
        <w:t>发展，构建数字商圈平台、社区智慧物流网络、新能源设施终端等生活“新基建”，着力解决“数字鸿沟”问题，倡导各类公共服务“数字无障碍”，创造无处不在、优质普惠的数字生活新图景。</w:t>
      </w:r>
    </w:p>
    <w:p w:rsidR="00503075" w:rsidRDefault="00552E79">
      <w:pPr>
        <w:pStyle w:val="a6"/>
        <w:spacing w:after="0" w:line="560" w:lineRule="exact"/>
        <w:ind w:firstLineChars="200" w:firstLine="643"/>
        <w:rPr>
          <w:rFonts w:ascii="仿宋_GB2312" w:eastAsia="仿宋_GB2312" w:hAnsi="微软雅黑"/>
          <w:sz w:val="32"/>
        </w:rPr>
      </w:pPr>
      <w:r>
        <w:rPr>
          <w:rFonts w:ascii="仿宋_GB2312" w:eastAsia="仿宋_GB2312" w:hAnsi="微软雅黑" w:hint="eastAsia"/>
          <w:b/>
          <w:sz w:val="32"/>
        </w:rPr>
        <w:t>3、聚焦城市治理难点，推动社会治理数字化转型。</w:t>
      </w:r>
      <w:r>
        <w:rPr>
          <w:rFonts w:ascii="仿宋_GB2312" w:eastAsia="仿宋_GB2312" w:hAnsi="黑体" w:cs="黑体" w:hint="eastAsia"/>
          <w:b/>
          <w:color w:val="000000" w:themeColor="text1"/>
          <w:kern w:val="2"/>
          <w:sz w:val="32"/>
          <w:szCs w:val="32"/>
        </w:rPr>
        <w:t>一是将社会治理应用场景统筹汇聚到“一网通办”“一网统管”两张网上。</w:t>
      </w:r>
      <w:r>
        <w:rPr>
          <w:rFonts w:ascii="仿宋_GB2312" w:eastAsia="仿宋_GB2312" w:hAnsi="微软雅黑" w:hint="eastAsia"/>
          <w:sz w:val="32"/>
        </w:rPr>
        <w:t>聚焦“高效处置一件事”，全面提升线上线下协同的精准治理能力；深化“高效办成一件事”，构建全方位、全覆盖服务体系，推动政务服务由“人找服务”向“服务找人”转变。加快推动和促进“两网”有效融合，打造科学化、精细化、智能化的城市“数治”新范式。</w:t>
      </w:r>
      <w:r>
        <w:rPr>
          <w:rFonts w:ascii="仿宋_GB2312" w:eastAsia="仿宋_GB2312" w:hAnsi="黑体" w:cs="黑体" w:hint="eastAsia"/>
          <w:b/>
          <w:color w:val="000000" w:themeColor="text1"/>
          <w:kern w:val="2"/>
          <w:sz w:val="32"/>
          <w:szCs w:val="32"/>
        </w:rPr>
        <w:t>二是守</w:t>
      </w:r>
      <w:proofErr w:type="gramStart"/>
      <w:r>
        <w:rPr>
          <w:rFonts w:ascii="仿宋_GB2312" w:eastAsia="仿宋_GB2312" w:hAnsi="黑体" w:cs="黑体" w:hint="eastAsia"/>
          <w:b/>
          <w:color w:val="000000" w:themeColor="text1"/>
          <w:kern w:val="2"/>
          <w:sz w:val="32"/>
          <w:szCs w:val="32"/>
        </w:rPr>
        <w:t>牢安全</w:t>
      </w:r>
      <w:proofErr w:type="gramEnd"/>
      <w:r>
        <w:rPr>
          <w:rFonts w:ascii="仿宋_GB2312" w:eastAsia="仿宋_GB2312" w:hAnsi="黑体" w:cs="黑体" w:hint="eastAsia"/>
          <w:b/>
          <w:color w:val="000000" w:themeColor="text1"/>
          <w:kern w:val="2"/>
          <w:sz w:val="32"/>
          <w:szCs w:val="32"/>
        </w:rPr>
        <w:t>底线，打造大平安、大应急监管平台。</w:t>
      </w:r>
      <w:r>
        <w:rPr>
          <w:rFonts w:ascii="仿宋_GB2312" w:eastAsia="仿宋_GB2312" w:hAnsi="仿宋" w:cs="Times New Roman" w:hint="eastAsia"/>
          <w:sz w:val="32"/>
          <w:szCs w:val="32"/>
        </w:rPr>
        <w:t>建成卫生防疫、火灾消防、安全生产、危险品存放运输、防汛防台、建筑工地、生态安全、社会面治安</w:t>
      </w:r>
      <w:proofErr w:type="gramStart"/>
      <w:r>
        <w:rPr>
          <w:rFonts w:ascii="仿宋_GB2312" w:eastAsia="仿宋_GB2312" w:hAnsi="仿宋" w:cs="Times New Roman" w:hint="eastAsia"/>
          <w:sz w:val="32"/>
          <w:szCs w:val="32"/>
        </w:rPr>
        <w:t>安全八</w:t>
      </w:r>
      <w:proofErr w:type="gramEnd"/>
      <w:r>
        <w:rPr>
          <w:rFonts w:ascii="仿宋_GB2312" w:eastAsia="仿宋_GB2312" w:hAnsi="仿宋" w:cs="Times New Roman" w:hint="eastAsia"/>
          <w:sz w:val="32"/>
          <w:szCs w:val="32"/>
        </w:rPr>
        <w:t>大维度的</w:t>
      </w:r>
      <w:r>
        <w:rPr>
          <w:rFonts w:ascii="黑体" w:eastAsia="黑体" w:hAnsi="黑体" w:cs="黑体" w:hint="eastAsia"/>
          <w:color w:val="000000" w:themeColor="text1"/>
          <w:kern w:val="2"/>
          <w:sz w:val="32"/>
          <w:szCs w:val="32"/>
        </w:rPr>
        <w:t>城</w:t>
      </w:r>
      <w:r>
        <w:rPr>
          <w:rFonts w:ascii="黑体" w:eastAsia="黑体" w:hAnsi="黑体" w:cs="黑体" w:hint="eastAsia"/>
          <w:color w:val="000000" w:themeColor="text1"/>
          <w:kern w:val="2"/>
          <w:sz w:val="32"/>
          <w:szCs w:val="32"/>
        </w:rPr>
        <w:lastRenderedPageBreak/>
        <w:t>市安全指数</w:t>
      </w:r>
      <w:r>
        <w:rPr>
          <w:rFonts w:ascii="仿宋_GB2312" w:eastAsia="仿宋_GB2312" w:hAnsi="仿宋" w:cs="Times New Roman" w:hint="eastAsia"/>
          <w:sz w:val="32"/>
          <w:szCs w:val="32"/>
        </w:rPr>
        <w:t>，</w:t>
      </w:r>
      <w:r>
        <w:rPr>
          <w:rFonts w:ascii="仿宋_GB2312" w:eastAsia="仿宋_GB2312" w:hAnsi="微软雅黑" w:hint="eastAsia"/>
          <w:sz w:val="32"/>
        </w:rPr>
        <w:t>实现安全应急的态势全面感知、风险监测预警、趋势智能</w:t>
      </w:r>
      <w:proofErr w:type="gramStart"/>
      <w:r>
        <w:rPr>
          <w:rFonts w:ascii="仿宋_GB2312" w:eastAsia="仿宋_GB2312" w:hAnsi="微软雅黑" w:hint="eastAsia"/>
          <w:sz w:val="32"/>
        </w:rPr>
        <w:t>研</w:t>
      </w:r>
      <w:proofErr w:type="gramEnd"/>
      <w:r>
        <w:rPr>
          <w:rFonts w:ascii="仿宋_GB2312" w:eastAsia="仿宋_GB2312" w:hAnsi="微软雅黑" w:hint="eastAsia"/>
          <w:sz w:val="32"/>
        </w:rPr>
        <w:t>判、资源统筹调度。</w:t>
      </w:r>
      <w:r>
        <w:rPr>
          <w:rFonts w:ascii="仿宋_GB2312" w:eastAsia="仿宋_GB2312" w:hAnsi="黑体" w:cs="黑体" w:hint="eastAsia"/>
          <w:b/>
          <w:color w:val="000000" w:themeColor="text1"/>
          <w:kern w:val="2"/>
          <w:sz w:val="32"/>
          <w:szCs w:val="32"/>
        </w:rPr>
        <w:t>三是创建面向未来的交通治理模型。</w:t>
      </w:r>
      <w:r>
        <w:rPr>
          <w:rFonts w:ascii="仿宋_GB2312" w:eastAsia="仿宋_GB2312" w:hAnsi="微软雅黑" w:hint="eastAsia"/>
          <w:sz w:val="32"/>
        </w:rPr>
        <w:t>充分整合道路交通信息化资源，实现对路口交通运行健康状态的精准感知，提升以识别风险、管</w:t>
      </w:r>
      <w:proofErr w:type="gramStart"/>
      <w:r>
        <w:rPr>
          <w:rFonts w:ascii="仿宋_GB2312" w:eastAsia="仿宋_GB2312" w:hAnsi="微软雅黑" w:hint="eastAsia"/>
          <w:sz w:val="32"/>
        </w:rPr>
        <w:t>控风险</w:t>
      </w:r>
      <w:proofErr w:type="gramEnd"/>
      <w:r>
        <w:rPr>
          <w:rFonts w:ascii="仿宋_GB2312" w:eastAsia="仿宋_GB2312" w:hAnsi="微软雅黑" w:hint="eastAsia"/>
          <w:sz w:val="32"/>
        </w:rPr>
        <w:t xml:space="preserve">为主要内容的安全防控能力，建立健全“预测、预警、预防”机制，辅助道路路网改造决策。推进集卡和堆场管理数字化，减少道路拥堵和交通事故风险。 </w:t>
      </w:r>
    </w:p>
    <w:p w:rsidR="00503075" w:rsidRDefault="00552E79">
      <w:pPr>
        <w:pStyle w:val="a6"/>
        <w:spacing w:after="0" w:line="560" w:lineRule="exact"/>
        <w:ind w:firstLineChars="200" w:firstLine="643"/>
        <w:rPr>
          <w:rFonts w:ascii="楷体_GB2312" w:eastAsia="楷体_GB2312" w:hAnsi="微软雅黑"/>
          <w:sz w:val="32"/>
        </w:rPr>
      </w:pPr>
      <w:r>
        <w:rPr>
          <w:rStyle w:val="a7"/>
          <w:rFonts w:ascii="楷体_GB2312" w:eastAsia="楷体_GB2312" w:hAnsi="微软雅黑" w:hint="eastAsia"/>
          <w:sz w:val="32"/>
        </w:rPr>
        <w:t>（二）坚持全方位赋能，构建数据驱动的数字城市基座</w:t>
      </w:r>
    </w:p>
    <w:p w:rsidR="00503075" w:rsidRDefault="00552E79">
      <w:pPr>
        <w:pStyle w:val="a6"/>
        <w:spacing w:after="0" w:line="560" w:lineRule="exact"/>
        <w:ind w:firstLineChars="200" w:firstLine="640"/>
        <w:rPr>
          <w:rFonts w:ascii="仿宋_GB2312" w:eastAsia="仿宋_GB2312" w:hAnsi="微软雅黑"/>
          <w:sz w:val="32"/>
        </w:rPr>
      </w:pPr>
      <w:r>
        <w:rPr>
          <w:rFonts w:ascii="仿宋_GB2312" w:eastAsia="仿宋_GB2312" w:hAnsi="微软雅黑" w:hint="eastAsia"/>
          <w:sz w:val="32"/>
        </w:rPr>
        <w:t>加快构筑数据新要素体系、数字新技术体系和城市数字新底座，充分释放数字化蕴含的巨大能量，以数字维度全方位赋能城市迭代进化、加速创新。</w:t>
      </w:r>
    </w:p>
    <w:p w:rsidR="00503075" w:rsidRDefault="00552E79">
      <w:pPr>
        <w:pStyle w:val="a6"/>
        <w:spacing w:after="0" w:line="560" w:lineRule="exact"/>
        <w:ind w:firstLineChars="200" w:firstLine="643"/>
        <w:rPr>
          <w:rFonts w:ascii="仿宋_GB2312" w:eastAsia="仿宋_GB2312" w:hAnsi="微软雅黑"/>
          <w:b/>
          <w:sz w:val="32"/>
        </w:rPr>
      </w:pPr>
      <w:r>
        <w:rPr>
          <w:rFonts w:ascii="仿宋_GB2312" w:eastAsia="仿宋_GB2312" w:hAnsi="微软雅黑" w:hint="eastAsia"/>
          <w:b/>
          <w:sz w:val="32"/>
        </w:rPr>
        <w:t>1、打造泛在鲜活的城市数字底板。</w:t>
      </w:r>
      <w:r>
        <w:rPr>
          <w:rFonts w:ascii="Times New Roman" w:eastAsia="仿宋_GB2312" w:hAnsi="Times New Roman" w:hint="eastAsia"/>
          <w:color w:val="000000" w:themeColor="text1"/>
          <w:sz w:val="32"/>
          <w:szCs w:val="32"/>
        </w:rPr>
        <w:t>按照“打通数据共享通道、激活用好应用场景、推进线上实效运转”要求，</w:t>
      </w:r>
      <w:r>
        <w:rPr>
          <w:rFonts w:ascii="仿宋_GB2312" w:eastAsia="仿宋_GB2312" w:hAnsiTheme="minorEastAsia" w:cs="仿宋_GB2312" w:hint="eastAsia"/>
          <w:bCs/>
          <w:sz w:val="32"/>
          <w:szCs w:val="32"/>
        </w:rPr>
        <w:t>整合建立全区统一的二</w:t>
      </w:r>
      <w:proofErr w:type="gramStart"/>
      <w:r>
        <w:rPr>
          <w:rFonts w:ascii="仿宋_GB2312" w:eastAsia="仿宋_GB2312" w:hAnsiTheme="minorEastAsia" w:cs="仿宋_GB2312" w:hint="eastAsia"/>
          <w:bCs/>
          <w:sz w:val="32"/>
          <w:szCs w:val="32"/>
        </w:rPr>
        <w:t>维码应用</w:t>
      </w:r>
      <w:proofErr w:type="gramEnd"/>
      <w:r>
        <w:rPr>
          <w:rFonts w:ascii="仿宋_GB2312" w:eastAsia="仿宋_GB2312" w:hAnsiTheme="minorEastAsia" w:cs="仿宋_GB2312" w:hint="eastAsia"/>
          <w:bCs/>
          <w:sz w:val="32"/>
          <w:szCs w:val="32"/>
        </w:rPr>
        <w:t>共享平台，推动跨部门、跨领域的二</w:t>
      </w:r>
      <w:proofErr w:type="gramStart"/>
      <w:r>
        <w:rPr>
          <w:rFonts w:ascii="仿宋_GB2312" w:eastAsia="仿宋_GB2312" w:hAnsiTheme="minorEastAsia" w:cs="仿宋_GB2312" w:hint="eastAsia"/>
          <w:bCs/>
          <w:sz w:val="32"/>
          <w:szCs w:val="32"/>
        </w:rPr>
        <w:t>维码数据交互和</w:t>
      </w:r>
      <w:proofErr w:type="gramEnd"/>
      <w:r>
        <w:rPr>
          <w:rFonts w:ascii="仿宋_GB2312" w:eastAsia="仿宋_GB2312" w:hAnsiTheme="minorEastAsia" w:cs="仿宋_GB2312" w:hint="eastAsia"/>
          <w:bCs/>
          <w:sz w:val="32"/>
          <w:szCs w:val="32"/>
        </w:rPr>
        <w:t>共享应用。</w:t>
      </w:r>
      <w:r>
        <w:rPr>
          <w:rFonts w:ascii="Times New Roman" w:eastAsia="仿宋_GB2312" w:hAnsi="Times New Roman" w:hint="eastAsia"/>
          <w:color w:val="000000" w:themeColor="text1"/>
          <w:sz w:val="32"/>
          <w:szCs w:val="32"/>
        </w:rPr>
        <w:t>充分汇聚城市空间基础静态数据和城市运行动态数据，精准刻画城市的空间细节和运行状态，形成可追溯、会生长的城市数字底板，有力支撑和赋能各类城市数字化场景应用。</w:t>
      </w:r>
    </w:p>
    <w:p w:rsidR="00503075" w:rsidRDefault="00552E79">
      <w:pPr>
        <w:pStyle w:val="a6"/>
        <w:spacing w:after="0" w:line="560" w:lineRule="exact"/>
        <w:ind w:firstLineChars="200" w:firstLine="643"/>
        <w:rPr>
          <w:rFonts w:ascii="Times New Roman" w:eastAsia="仿宋_GB2312" w:hAnsi="Times New Roman" w:cs="Times New Roman"/>
          <w:kern w:val="2"/>
          <w:sz w:val="32"/>
          <w:szCs w:val="32"/>
        </w:rPr>
      </w:pPr>
      <w:r>
        <w:rPr>
          <w:rFonts w:ascii="仿宋_GB2312" w:eastAsia="仿宋_GB2312" w:hAnsi="微软雅黑" w:hint="eastAsia"/>
          <w:b/>
          <w:sz w:val="32"/>
        </w:rPr>
        <w:t>2、</w:t>
      </w:r>
      <w:r>
        <w:rPr>
          <w:rFonts w:ascii="Times New Roman" w:eastAsia="仿宋_GB2312" w:hAnsi="Times New Roman" w:hint="eastAsia"/>
          <w:b/>
          <w:sz w:val="32"/>
          <w:szCs w:val="32"/>
        </w:rPr>
        <w:t>构建智慧鲜活的数据中台</w:t>
      </w:r>
      <w:r>
        <w:rPr>
          <w:rFonts w:ascii="仿宋_GB2312" w:eastAsia="仿宋_GB2312" w:hAnsi="微软雅黑" w:hint="eastAsia"/>
          <w:b/>
          <w:sz w:val="32"/>
        </w:rPr>
        <w:t>。</w:t>
      </w:r>
      <w:r>
        <w:rPr>
          <w:rFonts w:ascii="Times New Roman" w:eastAsia="仿宋_GB2312" w:hAnsi="Times New Roman" w:hint="eastAsia"/>
          <w:color w:val="000000" w:themeColor="text1"/>
          <w:sz w:val="32"/>
          <w:szCs w:val="32"/>
        </w:rPr>
        <w:t>综合汇聚各方城市微观要素数据，</w:t>
      </w:r>
      <w:r>
        <w:rPr>
          <w:rFonts w:ascii="Times New Roman" w:eastAsia="仿宋_GB2312" w:hAnsi="Times New Roman" w:hint="eastAsia"/>
          <w:sz w:val="32"/>
          <w:szCs w:val="32"/>
        </w:rPr>
        <w:t>建成</w:t>
      </w:r>
      <w:r>
        <w:rPr>
          <w:rFonts w:ascii="Times New Roman" w:eastAsia="仿宋_GB2312" w:hAnsi="Times New Roman"/>
          <w:sz w:val="32"/>
          <w:szCs w:val="32"/>
        </w:rPr>
        <w:t>智慧鲜活的政务数据中台</w:t>
      </w:r>
      <w:r>
        <w:rPr>
          <w:rFonts w:ascii="Times New Roman" w:eastAsia="仿宋_GB2312" w:hAnsi="Times New Roman" w:hint="eastAsia"/>
          <w:sz w:val="32"/>
          <w:szCs w:val="32"/>
        </w:rPr>
        <w:t>，完善宝山“城市大脑”功能。进一步实现各类信息资源和业务功能的封装化服务和调度管理</w:t>
      </w:r>
      <w:r>
        <w:rPr>
          <w:rFonts w:ascii="仿宋_GB2312" w:eastAsia="仿宋_GB2312" w:hint="eastAsia"/>
          <w:sz w:val="32"/>
          <w:szCs w:val="32"/>
        </w:rPr>
        <w:t>，提供低成本、高效率以及统一开放的算法能力，</w:t>
      </w:r>
      <w:r>
        <w:rPr>
          <w:rFonts w:ascii="Times New Roman" w:eastAsia="仿宋_GB2312" w:hAnsi="Times New Roman" w:hint="eastAsia"/>
          <w:sz w:val="32"/>
          <w:szCs w:val="32"/>
        </w:rPr>
        <w:t>支撑上层应用的快速定制、开发和部署</w:t>
      </w:r>
      <w:r>
        <w:rPr>
          <w:rFonts w:ascii="仿宋_GB2312" w:eastAsia="仿宋_GB2312" w:hint="eastAsia"/>
          <w:sz w:val="32"/>
          <w:szCs w:val="32"/>
        </w:rPr>
        <w:t>，</w:t>
      </w:r>
      <w:r>
        <w:rPr>
          <w:rFonts w:ascii="Times New Roman" w:eastAsia="仿宋_GB2312" w:hAnsi="Times New Roman" w:hint="eastAsia"/>
          <w:sz w:val="32"/>
          <w:szCs w:val="32"/>
        </w:rPr>
        <w:t>实现跨部门的高效协同。</w:t>
      </w:r>
      <w:r>
        <w:rPr>
          <w:rFonts w:ascii="Times New Roman" w:eastAsia="仿宋_GB2312" w:hAnsi="Times New Roman" w:cs="Times New Roman" w:hint="eastAsia"/>
          <w:kern w:val="2"/>
          <w:sz w:val="32"/>
          <w:szCs w:val="32"/>
        </w:rPr>
        <w:t>基于数字孪生理念打造与物理世界虚拟映射、接入的方式扩充城市视觉感</w:t>
      </w:r>
      <w:r>
        <w:rPr>
          <w:rFonts w:ascii="Times New Roman" w:eastAsia="仿宋_GB2312" w:hAnsi="Times New Roman" w:cs="Times New Roman" w:hint="eastAsia"/>
          <w:kern w:val="2"/>
          <w:sz w:val="32"/>
          <w:szCs w:val="32"/>
        </w:rPr>
        <w:lastRenderedPageBreak/>
        <w:t>知单元，实现城市运行的全景展现、仿真预测、指挥调度和决策优化。</w:t>
      </w:r>
    </w:p>
    <w:p w:rsidR="00503075" w:rsidRDefault="00552E79">
      <w:pPr>
        <w:pStyle w:val="a6"/>
        <w:spacing w:after="0" w:line="560" w:lineRule="exact"/>
        <w:ind w:firstLineChars="200" w:firstLine="643"/>
        <w:rPr>
          <w:rFonts w:ascii="Times New Roman" w:eastAsia="仿宋_GB2312" w:hAnsi="Times New Roman" w:cs="Times New Roman"/>
          <w:kern w:val="2"/>
          <w:sz w:val="32"/>
          <w:szCs w:val="32"/>
        </w:rPr>
      </w:pPr>
      <w:r>
        <w:rPr>
          <w:rFonts w:ascii="Times New Roman" w:eastAsia="仿宋_GB2312" w:hAnsi="Times New Roman"/>
          <w:b/>
          <w:sz w:val="32"/>
          <w:szCs w:val="32"/>
        </w:rPr>
        <w:t>3</w:t>
      </w:r>
      <w:r>
        <w:rPr>
          <w:rFonts w:ascii="Times New Roman" w:eastAsia="仿宋_GB2312" w:hAnsi="Times New Roman" w:hint="eastAsia"/>
          <w:b/>
          <w:sz w:val="32"/>
          <w:szCs w:val="32"/>
        </w:rPr>
        <w:t>、统筹推进城市神经元和感知端接入。</w:t>
      </w:r>
      <w:r>
        <w:rPr>
          <w:rFonts w:ascii="Times New Roman" w:eastAsia="仿宋_GB2312" w:hAnsi="Times New Roman" w:cs="Times New Roman" w:hint="eastAsia"/>
          <w:b/>
          <w:bCs/>
          <w:color w:val="000000" w:themeColor="text1"/>
          <w:sz w:val="32"/>
          <w:szCs w:val="32"/>
        </w:rPr>
        <w:t>一是</w:t>
      </w:r>
      <w:r>
        <w:rPr>
          <w:rFonts w:ascii="Times New Roman" w:eastAsia="仿宋_GB2312" w:hAnsi="Times New Roman" w:cs="Times New Roman" w:hint="eastAsia"/>
          <w:color w:val="000000" w:themeColor="text1"/>
          <w:sz w:val="32"/>
          <w:szCs w:val="32"/>
        </w:rPr>
        <w:t>通过接入社会自建视频图像数据，以“小投入</w:t>
      </w: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hint="eastAsia"/>
          <w:color w:val="000000" w:themeColor="text1"/>
          <w:sz w:val="32"/>
          <w:szCs w:val="32"/>
        </w:rPr>
        <w:t>大接入”的方式</w:t>
      </w:r>
      <w:r>
        <w:rPr>
          <w:rFonts w:ascii="仿宋_GB2312" w:eastAsia="仿宋_GB2312" w:hAnsiTheme="minorEastAsia" w:hint="eastAsia"/>
          <w:sz w:val="32"/>
          <w:szCs w:val="32"/>
        </w:rPr>
        <w:t>扩充</w:t>
      </w:r>
      <w:r>
        <w:rPr>
          <w:rFonts w:ascii="仿宋_GB2312" w:eastAsia="仿宋_GB2312" w:hAnsiTheme="minorEastAsia" w:hint="eastAsia"/>
          <w:color w:val="000000" w:themeColor="text1"/>
          <w:sz w:val="32"/>
          <w:szCs w:val="32"/>
        </w:rPr>
        <w:t>城市立体智能视觉感知体系；推进“AI+视觉感知”的体系化智能运用，</w:t>
      </w:r>
      <w:r>
        <w:rPr>
          <w:rFonts w:ascii="仿宋_GB2312" w:eastAsia="仿宋_GB2312" w:hAnsiTheme="minorEastAsia" w:hint="eastAsia"/>
          <w:sz w:val="32"/>
          <w:szCs w:val="32"/>
        </w:rPr>
        <w:t>形成全景联动的人工智能视觉分析系统。</w:t>
      </w:r>
      <w:r>
        <w:rPr>
          <w:rFonts w:ascii="仿宋_GB2312" w:eastAsia="仿宋_GB2312" w:hAnsiTheme="minorEastAsia" w:cs="仿宋_GB2312" w:hint="eastAsia"/>
          <w:b/>
          <w:sz w:val="32"/>
          <w:szCs w:val="32"/>
        </w:rPr>
        <w:t>二是</w:t>
      </w:r>
      <w:r>
        <w:rPr>
          <w:rFonts w:ascii="仿宋_GB2312" w:eastAsia="仿宋_GB2312" w:hAnsiTheme="minorEastAsia" w:hint="eastAsia"/>
          <w:sz w:val="32"/>
          <w:szCs w:val="32"/>
        </w:rPr>
        <w:t>按需</w:t>
      </w:r>
      <w:proofErr w:type="gramStart"/>
      <w:r>
        <w:rPr>
          <w:rFonts w:ascii="仿宋_GB2312" w:eastAsia="仿宋_GB2312" w:hAnsiTheme="minorEastAsia" w:hint="eastAsia"/>
          <w:sz w:val="32"/>
          <w:szCs w:val="32"/>
        </w:rPr>
        <w:t>推进物联感知</w:t>
      </w:r>
      <w:proofErr w:type="gramEnd"/>
      <w:r>
        <w:rPr>
          <w:rFonts w:ascii="仿宋_GB2312" w:eastAsia="仿宋_GB2312" w:hAnsiTheme="minorEastAsia" w:hint="eastAsia"/>
          <w:sz w:val="32"/>
          <w:szCs w:val="32"/>
        </w:rPr>
        <w:t>触角建设，</w:t>
      </w:r>
      <w:r>
        <w:rPr>
          <w:rFonts w:ascii="仿宋_GB2312" w:eastAsia="仿宋_GB2312" w:hAnsiTheme="minorEastAsia" w:cs="仿宋_GB2312" w:hint="eastAsia"/>
          <w:bCs/>
          <w:sz w:val="32"/>
          <w:szCs w:val="32"/>
        </w:rPr>
        <w:t>运用RFID、M2M、传感器等物联网相关技术，在建筑物、道路、供水、燃气、环境监测等涉及的城市部件上按需部署智能化的感知“神经元”。</w:t>
      </w:r>
      <w:r>
        <w:rPr>
          <w:rFonts w:ascii="仿宋_GB2312" w:eastAsia="仿宋_GB2312" w:hAnsiTheme="minorEastAsia" w:cs="仿宋_GB2312" w:hint="eastAsia"/>
          <w:b/>
          <w:sz w:val="32"/>
          <w:szCs w:val="32"/>
        </w:rPr>
        <w:t>三是</w:t>
      </w:r>
      <w:r>
        <w:rPr>
          <w:rFonts w:ascii="仿宋_GB2312" w:eastAsia="仿宋_GB2312" w:hAnsiTheme="minorEastAsia" w:hint="eastAsia"/>
          <w:sz w:val="32"/>
          <w:szCs w:val="32"/>
        </w:rPr>
        <w:t>建成“物联、数联、智联”三位一体的新型</w:t>
      </w:r>
      <w:proofErr w:type="gramStart"/>
      <w:r>
        <w:rPr>
          <w:rFonts w:ascii="仿宋_GB2312" w:eastAsia="仿宋_GB2312" w:hAnsiTheme="minorEastAsia" w:hint="eastAsia"/>
          <w:sz w:val="32"/>
          <w:szCs w:val="32"/>
        </w:rPr>
        <w:t>城域物联</w:t>
      </w:r>
      <w:proofErr w:type="gramEnd"/>
      <w:r>
        <w:rPr>
          <w:rFonts w:ascii="仿宋_GB2312" w:eastAsia="仿宋_GB2312" w:hAnsiTheme="minorEastAsia" w:hint="eastAsia"/>
          <w:sz w:val="32"/>
          <w:szCs w:val="32"/>
        </w:rPr>
        <w:t>专网，实现感知突触的多维化，形成感知网络在空、天、地三层的全域覆盖和应用。</w:t>
      </w:r>
    </w:p>
    <w:p w:rsidR="00503075" w:rsidRDefault="00552E79">
      <w:pPr>
        <w:pStyle w:val="a6"/>
        <w:spacing w:after="0" w:line="560" w:lineRule="exact"/>
        <w:ind w:firstLineChars="200" w:firstLine="643"/>
        <w:rPr>
          <w:rFonts w:ascii="楷体_GB2312" w:eastAsia="楷体_GB2312" w:hAnsi="微软雅黑"/>
          <w:sz w:val="32"/>
        </w:rPr>
      </w:pPr>
      <w:r>
        <w:rPr>
          <w:rStyle w:val="a7"/>
          <w:rFonts w:ascii="楷体_GB2312" w:eastAsia="楷体_GB2312" w:hAnsi="微软雅黑" w:hint="eastAsia"/>
          <w:sz w:val="32"/>
        </w:rPr>
        <w:t>（三）坚持革命性重塑，引导全社会共建共治共享数字城市</w:t>
      </w:r>
    </w:p>
    <w:p w:rsidR="00503075" w:rsidRDefault="00552E79">
      <w:pPr>
        <w:pStyle w:val="a6"/>
        <w:spacing w:after="0" w:line="560" w:lineRule="exact"/>
        <w:ind w:firstLineChars="200" w:firstLine="640"/>
        <w:rPr>
          <w:rFonts w:ascii="仿宋_GB2312" w:eastAsia="仿宋_GB2312" w:hAnsi="微软雅黑"/>
          <w:sz w:val="32"/>
        </w:rPr>
      </w:pPr>
      <w:r>
        <w:rPr>
          <w:rFonts w:ascii="仿宋_GB2312" w:eastAsia="仿宋_GB2312" w:hAnsi="微软雅黑"/>
          <w:sz w:val="32"/>
        </w:rPr>
        <w:t>把握</w:t>
      </w:r>
      <w:r>
        <w:rPr>
          <w:rFonts w:ascii="仿宋_GB2312" w:eastAsia="仿宋_GB2312" w:hAnsi="微软雅黑" w:hint="eastAsia"/>
          <w:sz w:val="32"/>
        </w:rPr>
        <w:t>工业时代向信息时代</w:t>
      </w:r>
      <w:r>
        <w:rPr>
          <w:rFonts w:ascii="仿宋_GB2312" w:eastAsia="仿宋_GB2312" w:hAnsi="微软雅黑"/>
          <w:sz w:val="32"/>
        </w:rPr>
        <w:t>迈进的规律特点</w:t>
      </w:r>
      <w:r>
        <w:rPr>
          <w:rFonts w:ascii="仿宋_GB2312" w:eastAsia="仿宋_GB2312" w:hAnsi="微软雅黑" w:hint="eastAsia"/>
          <w:sz w:val="32"/>
        </w:rPr>
        <w:t>，以全面数字化转型推动城市各领域全方面的流程再造、规则重构、功能塑造、生态构建，创造全新的生产生活方式和发展路径。</w:t>
      </w:r>
    </w:p>
    <w:p w:rsidR="00503075" w:rsidRDefault="00552E79">
      <w:pPr>
        <w:pStyle w:val="a6"/>
        <w:spacing w:after="0" w:line="560" w:lineRule="exact"/>
        <w:ind w:firstLineChars="200" w:firstLine="643"/>
        <w:rPr>
          <w:rFonts w:ascii="仿宋_GB2312" w:eastAsia="仿宋_GB2312" w:hAnsi="微软雅黑"/>
          <w:b/>
          <w:sz w:val="32"/>
        </w:rPr>
      </w:pPr>
      <w:r>
        <w:rPr>
          <w:rFonts w:ascii="仿宋_GB2312" w:eastAsia="仿宋_GB2312" w:hAnsi="微软雅黑" w:hint="eastAsia"/>
          <w:b/>
          <w:sz w:val="32"/>
        </w:rPr>
        <w:t>1、重建数字时代城市运行生态。</w:t>
      </w:r>
      <w:r>
        <w:rPr>
          <w:rFonts w:ascii="仿宋_GB2312" w:eastAsia="仿宋_GB2312" w:hAnsi="微软雅黑" w:hint="eastAsia"/>
          <w:sz w:val="32"/>
        </w:rPr>
        <w:t>以“一网统管”为载体，推进传统垂直流程、“横向割裂”的组织形态向扁平化、平台化、共享开放协同的新形态转变，从企业市民和城市运行高频急难的问题难点中确定数字化转型应用场景，变“盆景”为“常景”“长景”，以制度化、标准化方式推进被监管端到监管侧的全面数字化，实现数字化转型的常态化、可持续性。</w:t>
      </w:r>
    </w:p>
    <w:p w:rsidR="00503075" w:rsidRDefault="00552E79">
      <w:pPr>
        <w:pStyle w:val="a6"/>
        <w:spacing w:after="0" w:line="560" w:lineRule="exact"/>
        <w:ind w:firstLineChars="200" w:firstLine="643"/>
        <w:rPr>
          <w:rFonts w:ascii="仿宋_GB2312" w:eastAsia="仿宋_GB2312" w:hAnsi="微软雅黑"/>
          <w:sz w:val="32"/>
        </w:rPr>
      </w:pPr>
      <w:r>
        <w:rPr>
          <w:rFonts w:ascii="仿宋_GB2312" w:eastAsia="仿宋_GB2312" w:hAnsi="微软雅黑" w:hint="eastAsia"/>
          <w:b/>
          <w:sz w:val="32"/>
        </w:rPr>
        <w:t>2、再造数字时代的社会运转流程。推动政府</w:t>
      </w:r>
      <w:r>
        <w:rPr>
          <w:rFonts w:ascii="仿宋_GB2312" w:eastAsia="仿宋_GB2312" w:hAnsi="微软雅黑" w:hint="eastAsia"/>
          <w:sz w:val="32"/>
        </w:rPr>
        <w:t>以数据驱动服务和管理流程的再造，以数据为基础精准施策和科学治理，倒</w:t>
      </w:r>
      <w:proofErr w:type="gramStart"/>
      <w:r>
        <w:rPr>
          <w:rFonts w:ascii="仿宋_GB2312" w:eastAsia="仿宋_GB2312" w:hAnsi="微软雅黑" w:hint="eastAsia"/>
          <w:sz w:val="32"/>
        </w:rPr>
        <w:t>逼</w:t>
      </w:r>
      <w:r>
        <w:rPr>
          <w:rFonts w:ascii="仿宋_GB2312" w:eastAsia="仿宋_GB2312" w:hAnsi="微软雅黑" w:hint="eastAsia"/>
          <w:sz w:val="32"/>
        </w:rPr>
        <w:lastRenderedPageBreak/>
        <w:t>城市</w:t>
      </w:r>
      <w:proofErr w:type="gramEnd"/>
      <w:r>
        <w:rPr>
          <w:rFonts w:ascii="仿宋_GB2312" w:eastAsia="仿宋_GB2312" w:hAnsi="微软雅黑" w:hint="eastAsia"/>
          <w:sz w:val="32"/>
        </w:rPr>
        <w:t>管理手段、管理模式和管理理念深刻变革，实现被动处置型向主动发现型转变，由人力密集型向人机结合型转变。</w:t>
      </w:r>
      <w:r>
        <w:rPr>
          <w:rFonts w:ascii="仿宋_GB2312" w:eastAsia="仿宋_GB2312" w:hAnsi="微软雅黑" w:hint="eastAsia"/>
          <w:b/>
          <w:sz w:val="32"/>
        </w:rPr>
        <w:t>支持企业</w:t>
      </w:r>
      <w:r>
        <w:rPr>
          <w:rFonts w:ascii="仿宋_GB2312" w:eastAsia="仿宋_GB2312" w:hAnsi="微软雅黑" w:hint="eastAsia"/>
          <w:sz w:val="32"/>
        </w:rPr>
        <w:t>实现基于数据的“决策革命”，以数据的自动流动化解复杂市场环境的不确定性，优化资源配置效率，构筑新型数字化能力和竞争优势；</w:t>
      </w:r>
      <w:r>
        <w:rPr>
          <w:rFonts w:ascii="仿宋_GB2312" w:eastAsia="仿宋_GB2312" w:hAnsi="微软雅黑" w:hint="eastAsia"/>
          <w:b/>
          <w:sz w:val="32"/>
        </w:rPr>
        <w:t>引导市民</w:t>
      </w:r>
      <w:r>
        <w:rPr>
          <w:rFonts w:ascii="仿宋_GB2312" w:eastAsia="仿宋_GB2312" w:hAnsi="微软雅黑" w:hint="eastAsia"/>
          <w:sz w:val="32"/>
        </w:rPr>
        <w:t>重塑数字时代的认知能力与思维模式，人人都成为数据的生产者、治理者、使用者、获益者，以数字化激发城市生命体每一个细胞的活力。</w:t>
      </w:r>
    </w:p>
    <w:p w:rsidR="00503075" w:rsidRDefault="00552E79">
      <w:pPr>
        <w:pStyle w:val="a6"/>
        <w:spacing w:after="0" w:line="560" w:lineRule="exact"/>
        <w:ind w:firstLineChars="200" w:firstLine="643"/>
        <w:rPr>
          <w:rFonts w:ascii="仿宋_GB2312" w:eastAsia="仿宋_GB2312" w:hAnsi="微软雅黑"/>
          <w:sz w:val="32"/>
        </w:rPr>
      </w:pPr>
      <w:r>
        <w:rPr>
          <w:rFonts w:ascii="仿宋_GB2312" w:eastAsia="仿宋_GB2312" w:hAnsi="微软雅黑" w:hint="eastAsia"/>
          <w:b/>
          <w:sz w:val="32"/>
        </w:rPr>
        <w:t>3、重塑数字时代的城市全新功能。</w:t>
      </w:r>
      <w:r>
        <w:rPr>
          <w:rFonts w:ascii="仿宋_GB2312" w:eastAsia="仿宋_GB2312" w:hAnsi="微软雅黑" w:hint="eastAsia"/>
          <w:sz w:val="32"/>
        </w:rPr>
        <w:t>建设宝山数字孪生城市，实现城市可视化、可验证、可诊断、可预测、可学习、可决策、可交互的“七可能力”，加快推动城市“规建管用”一体化闭环运转，实现城市治理“一盘棋”、城市决策“一张图”。利用城市运行数据，前瞻规划和动态推演，科学设计、合理布局城市公共基础设施，使城市更聪明、更自律、更智慧。</w:t>
      </w:r>
    </w:p>
    <w:p w:rsidR="00503075" w:rsidRDefault="00552E79">
      <w:pPr>
        <w:pStyle w:val="a6"/>
        <w:spacing w:after="0" w:line="560" w:lineRule="exact"/>
        <w:ind w:firstLineChars="200" w:firstLine="640"/>
        <w:rPr>
          <w:rFonts w:ascii="黑体" w:eastAsia="黑体" w:hAnsi="黑体"/>
          <w:b/>
          <w:sz w:val="32"/>
        </w:rPr>
      </w:pPr>
      <w:r>
        <w:rPr>
          <w:rStyle w:val="a7"/>
          <w:rFonts w:ascii="黑体" w:eastAsia="黑体" w:hAnsi="黑体" w:hint="eastAsia"/>
          <w:b w:val="0"/>
          <w:sz w:val="32"/>
        </w:rPr>
        <w:t>四、保障措施</w:t>
      </w:r>
    </w:p>
    <w:p w:rsidR="00503075" w:rsidRDefault="00552E79">
      <w:pPr>
        <w:pStyle w:val="a6"/>
        <w:spacing w:after="0" w:line="560" w:lineRule="exact"/>
        <w:ind w:firstLineChars="200" w:firstLine="640"/>
        <w:rPr>
          <w:rFonts w:ascii="仿宋_GB2312" w:eastAsia="仿宋_GB2312" w:hAnsi="微软雅黑"/>
          <w:sz w:val="32"/>
        </w:rPr>
      </w:pPr>
      <w:r>
        <w:rPr>
          <w:rFonts w:ascii="仿宋_GB2312" w:eastAsia="仿宋_GB2312" w:hAnsi="微软雅黑" w:hint="eastAsia"/>
          <w:sz w:val="32"/>
        </w:rPr>
        <w:t>创新工作推进机制，科学有序全面推进城市数字化转型。坚持自下而上与自上而下相结合，深入调研谋划推进，通过数字化转型，将各领域堵点难点转化为发展亮点，形成政府引导、市场主导、全社会共同参与的城市数字化转型工作格局。</w:t>
      </w:r>
    </w:p>
    <w:p w:rsidR="00503075" w:rsidRDefault="00552E79">
      <w:pPr>
        <w:pStyle w:val="a6"/>
        <w:spacing w:after="0" w:line="560" w:lineRule="exact"/>
        <w:ind w:firstLineChars="200" w:firstLine="643"/>
        <w:rPr>
          <w:rFonts w:ascii="仿宋_GB2312" w:eastAsia="仿宋_GB2312" w:hAnsi="微软雅黑"/>
          <w:sz w:val="32"/>
        </w:rPr>
      </w:pPr>
      <w:r>
        <w:rPr>
          <w:rFonts w:ascii="楷体_GB2312" w:eastAsia="楷体_GB2312" w:hAnsi="微软雅黑" w:hint="eastAsia"/>
          <w:b/>
          <w:sz w:val="32"/>
        </w:rPr>
        <w:t>（一）加强数字化转型组织领导。</w:t>
      </w:r>
      <w:r>
        <w:rPr>
          <w:rFonts w:ascii="仿宋_GB2312" w:eastAsia="仿宋_GB2312" w:hAnsi="微软雅黑" w:hint="eastAsia"/>
          <w:sz w:val="32"/>
        </w:rPr>
        <w:t>充分发挥宝山区城市数字化转型工作领导小组作用，建立健全统筹协调和推进机制，定期召开推进会议，做好重点项目推进、重点场景统筹和考核评估工作。</w:t>
      </w:r>
      <w:r>
        <w:rPr>
          <w:rFonts w:ascii="仿宋_GB2312" w:eastAsia="仿宋_GB2312" w:hAnsi="微软雅黑"/>
          <w:sz w:val="32"/>
        </w:rPr>
        <w:t>落实</w:t>
      </w:r>
      <w:r>
        <w:rPr>
          <w:rFonts w:ascii="仿宋_GB2312" w:eastAsia="仿宋_GB2312" w:hAnsi="微软雅黑" w:hint="eastAsia"/>
          <w:sz w:val="32"/>
        </w:rPr>
        <w:t>“</w:t>
      </w:r>
      <w:r>
        <w:rPr>
          <w:rFonts w:ascii="仿宋_GB2312" w:eastAsia="仿宋_GB2312" w:hAnsi="微软雅黑"/>
          <w:sz w:val="32"/>
        </w:rPr>
        <w:t>管行业也要管数字化转型</w:t>
      </w:r>
      <w:r>
        <w:rPr>
          <w:rFonts w:ascii="仿宋_GB2312" w:eastAsia="仿宋_GB2312" w:hAnsi="微软雅黑" w:hint="eastAsia"/>
          <w:sz w:val="32"/>
        </w:rPr>
        <w:t>”</w:t>
      </w:r>
      <w:r>
        <w:rPr>
          <w:rFonts w:ascii="仿宋_GB2312" w:eastAsia="仿宋_GB2312" w:hAnsi="微软雅黑"/>
          <w:sz w:val="32"/>
        </w:rPr>
        <w:t>的理念要求,</w:t>
      </w:r>
      <w:r>
        <w:rPr>
          <w:rFonts w:ascii="仿宋_GB2312" w:eastAsia="仿宋_GB2312" w:hAnsi="微软雅黑" w:hint="eastAsia"/>
          <w:sz w:val="32"/>
        </w:rPr>
        <w:t>各部门、各</w:t>
      </w:r>
      <w:r>
        <w:rPr>
          <w:rFonts w:ascii="仿宋_GB2312" w:eastAsia="仿宋_GB2312" w:hAnsi="微软雅黑" w:hint="eastAsia"/>
          <w:sz w:val="32"/>
        </w:rPr>
        <w:lastRenderedPageBreak/>
        <w:t>街镇（园区）要明确数字化转型工作负责人，加快推进各领域、各单位的数字化建设进程，系统谋划、重点突破、扎实推进。</w:t>
      </w:r>
    </w:p>
    <w:p w:rsidR="00503075" w:rsidRDefault="00552E79">
      <w:pPr>
        <w:pStyle w:val="a6"/>
        <w:spacing w:after="0" w:line="560" w:lineRule="exact"/>
        <w:ind w:firstLineChars="200" w:firstLine="643"/>
        <w:rPr>
          <w:rFonts w:eastAsia="仿宋_GB2312"/>
          <w:sz w:val="32"/>
          <w:szCs w:val="32"/>
        </w:rPr>
      </w:pPr>
      <w:r>
        <w:rPr>
          <w:rFonts w:ascii="楷体_GB2312" w:eastAsia="楷体_GB2312" w:hAnsi="楷体_GB2312" w:cs="楷体_GB2312" w:hint="eastAsia"/>
          <w:b/>
          <w:sz w:val="32"/>
          <w:szCs w:val="32"/>
        </w:rPr>
        <w:t>（二）</w:t>
      </w:r>
      <w:r>
        <w:rPr>
          <w:rFonts w:ascii="楷体_GB2312" w:eastAsia="楷体_GB2312" w:hAnsi="微软雅黑" w:hint="eastAsia"/>
          <w:b/>
          <w:sz w:val="32"/>
        </w:rPr>
        <w:t>形成数字化转型推进机制。</w:t>
      </w:r>
      <w:r>
        <w:rPr>
          <w:rFonts w:eastAsia="仿宋_GB2312" w:hint="eastAsia"/>
          <w:sz w:val="32"/>
          <w:szCs w:val="32"/>
        </w:rPr>
        <w:t>制定行动计划，制图上墙、挂图作战，项目化推进数字化转型。结合“比学赶超”要求深入调研各领域、各环节的短板弱项，明确主攻方向、关键环节、实现路径，做到任务项目化、项目清单化、清单责任化。滚动编制年度应用场景任务清单，制定《宝山区城市数字化转型三年行动计划》，结合《宝山区推进新型智慧城市建设“十四五”规划》，实现“一年、三年、五年”</w:t>
      </w:r>
      <w:r>
        <w:rPr>
          <w:rFonts w:eastAsia="仿宋_GB2312" w:hint="eastAsia"/>
          <w:sz w:val="32"/>
          <w:szCs w:val="32"/>
        </w:rPr>
        <w:t xml:space="preserve"> </w:t>
      </w:r>
      <w:r>
        <w:rPr>
          <w:rFonts w:eastAsia="仿宋_GB2312" w:hint="eastAsia"/>
          <w:sz w:val="32"/>
          <w:szCs w:val="32"/>
        </w:rPr>
        <w:t>衔接递进推进机制。</w:t>
      </w:r>
    </w:p>
    <w:p w:rsidR="00503075" w:rsidRDefault="00552E79">
      <w:pPr>
        <w:spacing w:line="560" w:lineRule="exact"/>
        <w:ind w:firstLineChars="200" w:firstLine="643"/>
        <w:rPr>
          <w:rFonts w:ascii="仿宋_GB2312" w:eastAsia="仿宋_GB2312" w:hAnsi="微软雅黑" w:cs="宋体"/>
          <w:kern w:val="0"/>
          <w:sz w:val="32"/>
        </w:rPr>
      </w:pPr>
      <w:r>
        <w:rPr>
          <w:rFonts w:ascii="楷体_GB2312" w:eastAsia="楷体_GB2312" w:hAnsi="微软雅黑" w:hint="eastAsia"/>
          <w:b/>
          <w:sz w:val="32"/>
        </w:rPr>
        <w:t>（三）</w:t>
      </w:r>
      <w:r>
        <w:rPr>
          <w:rFonts w:ascii="楷体_GB2312" w:eastAsia="楷体_GB2312" w:hAnsi="楷体_GB2312" w:cs="楷体_GB2312" w:hint="eastAsia"/>
          <w:b/>
          <w:sz w:val="32"/>
          <w:szCs w:val="32"/>
        </w:rPr>
        <w:t>设立数字化转型应用场景扶持资金。</w:t>
      </w:r>
      <w:r>
        <w:rPr>
          <w:rFonts w:ascii="仿宋_GB2312" w:eastAsia="仿宋_GB2312" w:hAnsi="微软雅黑" w:cs="宋体" w:hint="eastAsia"/>
          <w:kern w:val="0"/>
          <w:sz w:val="32"/>
        </w:rPr>
        <w:t>加大财政资金对城市数字化转型的支持力度，发挥财政扶持资金对加快经济、生活数字化转型的撬动引领作用，提升宝山数字化转型应用场景的影响力。支持有潜力的经济数字化、生活数字化、治理数字化应用场景首个投入应用，鼓励开发</w:t>
      </w:r>
      <w:r>
        <w:rPr>
          <w:rFonts w:ascii="仿宋_GB2312" w:eastAsia="仿宋_GB2312" w:hAnsi="微软雅黑" w:cs="宋体"/>
          <w:kern w:val="0"/>
          <w:sz w:val="32"/>
        </w:rPr>
        <w:t>大数据应用效果明显</w:t>
      </w:r>
      <w:r>
        <w:rPr>
          <w:rFonts w:ascii="仿宋_GB2312" w:eastAsia="仿宋_GB2312" w:hAnsi="微软雅黑" w:cs="宋体" w:hint="eastAsia"/>
          <w:kern w:val="0"/>
          <w:sz w:val="32"/>
        </w:rPr>
        <w:t>、</w:t>
      </w:r>
      <w:r>
        <w:rPr>
          <w:rFonts w:ascii="仿宋_GB2312" w:eastAsia="仿宋_GB2312" w:hAnsi="微软雅黑" w:cs="宋体"/>
          <w:kern w:val="0"/>
          <w:sz w:val="32"/>
        </w:rPr>
        <w:t>多</w:t>
      </w:r>
      <w:proofErr w:type="gramStart"/>
      <w:r>
        <w:rPr>
          <w:rFonts w:ascii="仿宋_GB2312" w:eastAsia="仿宋_GB2312" w:hAnsi="微软雅黑" w:cs="宋体"/>
          <w:kern w:val="0"/>
          <w:sz w:val="32"/>
        </w:rPr>
        <w:t>源数据</w:t>
      </w:r>
      <w:proofErr w:type="gramEnd"/>
      <w:r>
        <w:rPr>
          <w:rFonts w:ascii="仿宋_GB2312" w:eastAsia="仿宋_GB2312" w:hAnsi="微软雅黑" w:cs="宋体"/>
          <w:kern w:val="0"/>
          <w:sz w:val="32"/>
        </w:rPr>
        <w:t>融合应用</w:t>
      </w:r>
      <w:r>
        <w:rPr>
          <w:rFonts w:ascii="仿宋_GB2312" w:eastAsia="仿宋_GB2312" w:hAnsi="微软雅黑" w:cs="宋体" w:hint="eastAsia"/>
          <w:kern w:val="0"/>
          <w:sz w:val="32"/>
        </w:rPr>
        <w:t>、</w:t>
      </w:r>
      <w:r>
        <w:rPr>
          <w:rFonts w:ascii="仿宋_GB2312" w:eastAsia="仿宋_GB2312" w:hAnsi="微软雅黑" w:cs="宋体"/>
          <w:kern w:val="0"/>
          <w:sz w:val="32"/>
        </w:rPr>
        <w:t>创新社会治理作用显著</w:t>
      </w:r>
      <w:r>
        <w:rPr>
          <w:rFonts w:ascii="仿宋_GB2312" w:eastAsia="仿宋_GB2312" w:hAnsi="微软雅黑" w:cs="宋体" w:hint="eastAsia"/>
          <w:kern w:val="0"/>
          <w:sz w:val="32"/>
        </w:rPr>
        <w:t>的应用场景。同时，引导建设方式由政府主导逐步向社会、企业多元化投入转变。</w:t>
      </w:r>
    </w:p>
    <w:p w:rsidR="00503075" w:rsidRDefault="00552E79">
      <w:pPr>
        <w:pStyle w:val="a6"/>
        <w:spacing w:after="0" w:line="560" w:lineRule="exact"/>
        <w:ind w:firstLineChars="200" w:firstLine="643"/>
        <w:rPr>
          <w:rFonts w:ascii="仿宋_GB2312" w:eastAsia="仿宋_GB2312" w:hAnsi="微软雅黑"/>
          <w:sz w:val="32"/>
        </w:rPr>
      </w:pPr>
      <w:r>
        <w:rPr>
          <w:rFonts w:ascii="楷体_GB2312" w:eastAsia="楷体_GB2312" w:hAnsi="微软雅黑" w:hint="eastAsia"/>
          <w:b/>
          <w:sz w:val="32"/>
        </w:rPr>
        <w:t>（四）营造数字化转型的良好环境。</w:t>
      </w:r>
      <w:r>
        <w:rPr>
          <w:rFonts w:ascii="仿宋_GB2312" w:eastAsia="仿宋_GB2312" w:hAnsi="微软雅黑" w:hint="eastAsia"/>
          <w:sz w:val="32"/>
        </w:rPr>
        <w:t>提高领导干部专业化能力，增加干部城市数字化转型培训内容，增强补课充电的紧迫感，不断学习数字化新知识新本领，培养运用数字化思维解决实际问题的能力，自觉赶上时代潮流。借助“外脑”，听取各领域数字化转型专家好的意见建议，广纳各方智慧。坚持面向市民、基层、市场，更多搭建群众便于参与的平台，最大限度调动各方面的主</w:t>
      </w:r>
      <w:r>
        <w:rPr>
          <w:rFonts w:ascii="仿宋_GB2312" w:eastAsia="仿宋_GB2312" w:hAnsi="微软雅黑" w:hint="eastAsia"/>
          <w:sz w:val="32"/>
        </w:rPr>
        <w:lastRenderedPageBreak/>
        <w:t>动性、积极性、创造性。加强宣传报道力度，及时总结推广各方面的经验创造，不断提升广大主体的获得感、幸福感、安全感。</w:t>
      </w:r>
    </w:p>
    <w:p w:rsidR="00503075" w:rsidRDefault="00503075">
      <w:pPr>
        <w:pStyle w:val="a0"/>
        <w:rPr>
          <w:rFonts w:ascii="Times New Roman" w:eastAsia="仿宋_GB2312" w:hAnsi="Times New Roman" w:cs="Times New Roman"/>
          <w:sz w:val="32"/>
          <w:szCs w:val="32"/>
        </w:rPr>
      </w:pPr>
    </w:p>
    <w:sectPr w:rsidR="00503075">
      <w:pgSz w:w="11906" w:h="16838"/>
      <w:pgMar w:top="1701" w:right="1474" w:bottom="1701"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99E" w:rsidRDefault="0046699E">
      <w:r>
        <w:separator/>
      </w:r>
    </w:p>
  </w:endnote>
  <w:endnote w:type="continuationSeparator" w:id="0">
    <w:p w:rsidR="0046699E" w:rsidRDefault="00466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99E" w:rsidRDefault="0046699E">
      <w:r>
        <w:separator/>
      </w:r>
    </w:p>
  </w:footnote>
  <w:footnote w:type="continuationSeparator" w:id="0">
    <w:p w:rsidR="0046699E" w:rsidRDefault="0046699E">
      <w:r>
        <w:continuationSeparator/>
      </w:r>
    </w:p>
  </w:footnote>
  <w:footnote w:id="1">
    <w:p w:rsidR="00503075" w:rsidRDefault="00552E79">
      <w:pPr>
        <w:pStyle w:val="a5"/>
        <w:rPr>
          <w:sz w:val="28"/>
          <w:szCs w:val="28"/>
        </w:rPr>
      </w:pPr>
      <w:r>
        <w:rPr>
          <w:rStyle w:val="a8"/>
        </w:rPr>
        <w:footnoteRef/>
      </w:r>
      <w:r>
        <w:rPr>
          <w:rFonts w:ascii="仿宋_GB2312" w:eastAsia="仿宋_GB2312" w:hAnsi="微软雅黑" w:hint="eastAsia"/>
          <w:sz w:val="28"/>
          <w:szCs w:val="28"/>
        </w:rPr>
        <w:t>在南大未来智慧城融合智能产业、数字金融、未来生活为一体的“智慧城数字生态圈”，以环上大科技园为中心融合周边科技企业、技术研发、院校为一体的“环上大数字生态圈”，在</w:t>
      </w:r>
      <w:proofErr w:type="gramStart"/>
      <w:r>
        <w:rPr>
          <w:rFonts w:ascii="仿宋_GB2312" w:eastAsia="仿宋_GB2312" w:hAnsi="微软雅黑" w:hint="eastAsia"/>
          <w:sz w:val="28"/>
          <w:szCs w:val="28"/>
        </w:rPr>
        <w:t>大华虎城</w:t>
      </w:r>
      <w:proofErr w:type="gramEnd"/>
      <w:r>
        <w:rPr>
          <w:rFonts w:ascii="仿宋_GB2312" w:eastAsia="仿宋_GB2312" w:hAnsi="微软雅黑" w:hint="eastAsia"/>
          <w:sz w:val="28"/>
          <w:szCs w:val="28"/>
        </w:rPr>
        <w:t>融合智慧商圈、休闲娱乐、</w:t>
      </w:r>
      <w:r>
        <w:rPr>
          <w:rFonts w:ascii="仿宋_GB2312" w:eastAsia="仿宋_GB2312" w:hAnsi="微软雅黑"/>
          <w:sz w:val="28"/>
          <w:szCs w:val="28"/>
        </w:rPr>
        <w:t>AR体验为一体的</w:t>
      </w:r>
      <w:r>
        <w:rPr>
          <w:rFonts w:ascii="仿宋_GB2312" w:eastAsia="仿宋_GB2312" w:hAnsi="微软雅黑" w:hint="eastAsia"/>
          <w:sz w:val="28"/>
          <w:szCs w:val="28"/>
        </w:rPr>
        <w:t>“</w:t>
      </w:r>
      <w:r>
        <w:rPr>
          <w:rFonts w:ascii="仿宋_GB2312" w:eastAsia="仿宋_GB2312" w:hAnsi="微软雅黑"/>
          <w:sz w:val="28"/>
          <w:szCs w:val="28"/>
        </w:rPr>
        <w:t>商业数字生态圈</w:t>
      </w:r>
      <w:r>
        <w:rPr>
          <w:rFonts w:ascii="仿宋_GB2312" w:eastAsia="仿宋_GB2312" w:hAnsi="微软雅黑" w:hint="eastAsia"/>
          <w:sz w:val="28"/>
          <w:szCs w:val="28"/>
        </w:rPr>
        <w:t>”</w:t>
      </w:r>
      <w:r>
        <w:rPr>
          <w:rFonts w:ascii="仿宋_GB2312" w:eastAsia="仿宋_GB2312" w:hAnsi="微软雅黑"/>
          <w:sz w:val="28"/>
          <w:szCs w:val="28"/>
        </w:rPr>
        <w:t>，</w:t>
      </w:r>
      <w:r>
        <w:rPr>
          <w:rFonts w:ascii="仿宋_GB2312" w:eastAsia="仿宋_GB2312" w:hAnsi="微软雅黑" w:hint="eastAsia"/>
          <w:sz w:val="28"/>
          <w:szCs w:val="28"/>
        </w:rPr>
        <w:t>在成熟社区融合幸福养老、邻里互助、零距离服务为一体的“数字生活生态圈”，在罗</w:t>
      </w:r>
      <w:proofErr w:type="gramStart"/>
      <w:r>
        <w:rPr>
          <w:rFonts w:ascii="仿宋_GB2312" w:eastAsia="仿宋_GB2312" w:hAnsi="微软雅黑" w:hint="eastAsia"/>
          <w:sz w:val="28"/>
          <w:szCs w:val="28"/>
        </w:rPr>
        <w:t>泾</w:t>
      </w:r>
      <w:proofErr w:type="gramEnd"/>
      <w:r>
        <w:rPr>
          <w:rFonts w:ascii="仿宋_GB2312" w:eastAsia="仿宋_GB2312" w:hAnsi="微软雅黑" w:hint="eastAsia"/>
          <w:sz w:val="28"/>
          <w:szCs w:val="28"/>
        </w:rPr>
        <w:t>镇融合数字农业、休闲旅游、智慧治理为一体的“田园数字微生态圈”。</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A06AF"/>
    <w:rsid w:val="0046699E"/>
    <w:rsid w:val="00503075"/>
    <w:rsid w:val="0052682E"/>
    <w:rsid w:val="00552E79"/>
    <w:rsid w:val="00593DC9"/>
    <w:rsid w:val="005E319F"/>
    <w:rsid w:val="00BB3560"/>
    <w:rsid w:val="05175097"/>
    <w:rsid w:val="067A32E4"/>
    <w:rsid w:val="0BBB244D"/>
    <w:rsid w:val="0D1B4583"/>
    <w:rsid w:val="0E1069E9"/>
    <w:rsid w:val="1A5E7176"/>
    <w:rsid w:val="1B592978"/>
    <w:rsid w:val="1BE22695"/>
    <w:rsid w:val="203A06AF"/>
    <w:rsid w:val="222D0863"/>
    <w:rsid w:val="24283528"/>
    <w:rsid w:val="2558300B"/>
    <w:rsid w:val="27800F50"/>
    <w:rsid w:val="288D7712"/>
    <w:rsid w:val="2C263671"/>
    <w:rsid w:val="3BCF1B14"/>
    <w:rsid w:val="46187209"/>
    <w:rsid w:val="4A4F4066"/>
    <w:rsid w:val="4B132AA6"/>
    <w:rsid w:val="4E9615C4"/>
    <w:rsid w:val="4F766564"/>
    <w:rsid w:val="51541F51"/>
    <w:rsid w:val="549C1DCC"/>
    <w:rsid w:val="55141790"/>
    <w:rsid w:val="59724FA1"/>
    <w:rsid w:val="59950716"/>
    <w:rsid w:val="6EE318DD"/>
    <w:rsid w:val="70B84DFC"/>
    <w:rsid w:val="72D87818"/>
    <w:rsid w:val="76846B14"/>
    <w:rsid w:val="7C4E0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qFormat="1"/>
    <w:lsdException w:name="footer" w:uiPriority="99" w:unhideWhenUsed="1" w:qFormat="1"/>
    <w:lsdException w:name="caption" w:semiHidden="1" w:unhideWhenUsed="1" w:qFormat="1"/>
    <w:lsdException w:name="footnote reference" w:semiHidden="1" w:uiPriority="99" w:unhideWhenUsed="1"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9"/>
    <w:qFormat/>
    <w:pPr>
      <w:keepNext/>
      <w:keepLines/>
      <w:spacing w:before="260" w:after="260" w:line="360" w:lineRule="auto"/>
      <w:ind w:firstLineChars="200" w:firstLine="200"/>
      <w:outlineLvl w:val="1"/>
    </w:pPr>
    <w:rPr>
      <w:rFonts w:ascii="等线 Light" w:eastAsia="仿宋" w:hAnsi="等线 Light"/>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footnote text"/>
    <w:basedOn w:val="a"/>
    <w:uiPriority w:val="99"/>
    <w:semiHidden/>
    <w:unhideWhenUsed/>
    <w:qFormat/>
    <w:pPr>
      <w:snapToGrid w:val="0"/>
      <w:jc w:val="left"/>
    </w:pPr>
    <w:rPr>
      <w:sz w:val="18"/>
    </w:rPr>
  </w:style>
  <w:style w:type="paragraph" w:styleId="a6">
    <w:name w:val="Normal (Web)"/>
    <w:basedOn w:val="a"/>
    <w:uiPriority w:val="99"/>
    <w:unhideWhenUsed/>
    <w:qFormat/>
    <w:pPr>
      <w:widowControl/>
      <w:spacing w:after="150"/>
      <w:jc w:val="left"/>
    </w:pPr>
    <w:rPr>
      <w:rFonts w:ascii="宋体" w:hAnsi="宋体" w:cs="宋体"/>
      <w:kern w:val="0"/>
      <w:sz w:val="24"/>
    </w:rPr>
  </w:style>
  <w:style w:type="character" w:styleId="a7">
    <w:name w:val="Strong"/>
    <w:qFormat/>
    <w:rPr>
      <w:b/>
      <w:bCs/>
    </w:rPr>
  </w:style>
  <w:style w:type="character" w:styleId="a8">
    <w:name w:val="footnote reference"/>
    <w:basedOn w:val="a1"/>
    <w:uiPriority w:val="99"/>
    <w:semiHidden/>
    <w:unhideWhenUsed/>
    <w:qFormat/>
    <w:rPr>
      <w:vertAlign w:val="superscript"/>
    </w:rPr>
  </w:style>
  <w:style w:type="paragraph" w:customStyle="1" w:styleId="Style12">
    <w:name w:val="_Style 12"/>
    <w:basedOn w:val="a"/>
    <w:next w:val="a9"/>
    <w:uiPriority w:val="34"/>
    <w:qFormat/>
    <w:pPr>
      <w:ind w:firstLineChars="200" w:firstLine="420"/>
    </w:pPr>
  </w:style>
  <w:style w:type="paragraph" w:styleId="a9">
    <w:name w:val="List Paragraph"/>
    <w:basedOn w:val="a"/>
    <w:uiPriority w:val="99"/>
    <w:unhideWhenUsed/>
    <w:qFormat/>
    <w:pPr>
      <w:ind w:firstLineChars="200" w:firstLine="420"/>
    </w:pPr>
  </w:style>
  <w:style w:type="paragraph" w:styleId="aa">
    <w:name w:val="header"/>
    <w:basedOn w:val="a"/>
    <w:link w:val="Char"/>
    <w:rsid w:val="005E31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a"/>
    <w:rsid w:val="005E319F"/>
    <w:rPr>
      <w:rFonts w:asciiTheme="minorHAnsi" w:eastAsiaTheme="minorEastAsia" w:hAnsiTheme="minorHAnsi" w:cstheme="minorBidi"/>
      <w:kern w:val="2"/>
      <w:sz w:val="18"/>
      <w:szCs w:val="18"/>
    </w:rPr>
  </w:style>
  <w:style w:type="paragraph" w:styleId="ab">
    <w:name w:val="Balloon Text"/>
    <w:basedOn w:val="a"/>
    <w:link w:val="Char0"/>
    <w:rsid w:val="00552E79"/>
    <w:rPr>
      <w:sz w:val="18"/>
      <w:szCs w:val="18"/>
    </w:rPr>
  </w:style>
  <w:style w:type="character" w:customStyle="1" w:styleId="Char0">
    <w:name w:val="批注框文本 Char"/>
    <w:basedOn w:val="a1"/>
    <w:link w:val="ab"/>
    <w:rsid w:val="00552E7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qFormat="1"/>
    <w:lsdException w:name="footer" w:uiPriority="99" w:unhideWhenUsed="1" w:qFormat="1"/>
    <w:lsdException w:name="caption" w:semiHidden="1" w:unhideWhenUsed="1" w:qFormat="1"/>
    <w:lsdException w:name="footnote reference" w:semiHidden="1" w:uiPriority="99" w:unhideWhenUsed="1"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9"/>
    <w:qFormat/>
    <w:pPr>
      <w:keepNext/>
      <w:keepLines/>
      <w:spacing w:before="260" w:after="260" w:line="360" w:lineRule="auto"/>
      <w:ind w:firstLineChars="200" w:firstLine="200"/>
      <w:outlineLvl w:val="1"/>
    </w:pPr>
    <w:rPr>
      <w:rFonts w:ascii="等线 Light" w:eastAsia="仿宋" w:hAnsi="等线 Light"/>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footnote text"/>
    <w:basedOn w:val="a"/>
    <w:uiPriority w:val="99"/>
    <w:semiHidden/>
    <w:unhideWhenUsed/>
    <w:qFormat/>
    <w:pPr>
      <w:snapToGrid w:val="0"/>
      <w:jc w:val="left"/>
    </w:pPr>
    <w:rPr>
      <w:sz w:val="18"/>
    </w:rPr>
  </w:style>
  <w:style w:type="paragraph" w:styleId="a6">
    <w:name w:val="Normal (Web)"/>
    <w:basedOn w:val="a"/>
    <w:uiPriority w:val="99"/>
    <w:unhideWhenUsed/>
    <w:qFormat/>
    <w:pPr>
      <w:widowControl/>
      <w:spacing w:after="150"/>
      <w:jc w:val="left"/>
    </w:pPr>
    <w:rPr>
      <w:rFonts w:ascii="宋体" w:hAnsi="宋体" w:cs="宋体"/>
      <w:kern w:val="0"/>
      <w:sz w:val="24"/>
    </w:rPr>
  </w:style>
  <w:style w:type="character" w:styleId="a7">
    <w:name w:val="Strong"/>
    <w:qFormat/>
    <w:rPr>
      <w:b/>
      <w:bCs/>
    </w:rPr>
  </w:style>
  <w:style w:type="character" w:styleId="a8">
    <w:name w:val="footnote reference"/>
    <w:basedOn w:val="a1"/>
    <w:uiPriority w:val="99"/>
    <w:semiHidden/>
    <w:unhideWhenUsed/>
    <w:qFormat/>
    <w:rPr>
      <w:vertAlign w:val="superscript"/>
    </w:rPr>
  </w:style>
  <w:style w:type="paragraph" w:customStyle="1" w:styleId="Style12">
    <w:name w:val="_Style 12"/>
    <w:basedOn w:val="a"/>
    <w:next w:val="a9"/>
    <w:uiPriority w:val="34"/>
    <w:qFormat/>
    <w:pPr>
      <w:ind w:firstLineChars="200" w:firstLine="420"/>
    </w:pPr>
  </w:style>
  <w:style w:type="paragraph" w:styleId="a9">
    <w:name w:val="List Paragraph"/>
    <w:basedOn w:val="a"/>
    <w:uiPriority w:val="99"/>
    <w:unhideWhenUsed/>
    <w:qFormat/>
    <w:pPr>
      <w:ind w:firstLineChars="200" w:firstLine="420"/>
    </w:pPr>
  </w:style>
  <w:style w:type="paragraph" w:styleId="aa">
    <w:name w:val="header"/>
    <w:basedOn w:val="a"/>
    <w:link w:val="Char"/>
    <w:rsid w:val="005E31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a"/>
    <w:rsid w:val="005E319F"/>
    <w:rPr>
      <w:rFonts w:asciiTheme="minorHAnsi" w:eastAsiaTheme="minorEastAsia" w:hAnsiTheme="minorHAnsi" w:cstheme="minorBidi"/>
      <w:kern w:val="2"/>
      <w:sz w:val="18"/>
      <w:szCs w:val="18"/>
    </w:rPr>
  </w:style>
  <w:style w:type="paragraph" w:styleId="ab">
    <w:name w:val="Balloon Text"/>
    <w:basedOn w:val="a"/>
    <w:link w:val="Char0"/>
    <w:rsid w:val="00552E79"/>
    <w:rPr>
      <w:sz w:val="18"/>
      <w:szCs w:val="18"/>
    </w:rPr>
  </w:style>
  <w:style w:type="character" w:customStyle="1" w:styleId="Char0">
    <w:name w:val="批注框文本 Char"/>
    <w:basedOn w:val="a1"/>
    <w:link w:val="ab"/>
    <w:rsid w:val="00552E7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2636</Words>
  <Characters>2716</Characters>
  <Application>Microsoft Office Word</Application>
  <DocSecurity>0</DocSecurity>
  <Lines>159</Lines>
  <Paragraphs>107</Paragraphs>
  <ScaleCrop>false</ScaleCrop>
  <Company>xxw</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陈祎雯(陈祎雯:登记)</cp:lastModifiedBy>
  <cp:revision>2</cp:revision>
  <cp:lastPrinted>2021-03-12T05:04:00Z</cp:lastPrinted>
  <dcterms:created xsi:type="dcterms:W3CDTF">2021-03-30T07:26:00Z</dcterms:created>
  <dcterms:modified xsi:type="dcterms:W3CDTF">2021-03-30T07:26:00Z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