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24" w:rsidRPr="008E76D1" w:rsidRDefault="006E2724" w:rsidP="008E76D1">
      <w:pPr>
        <w:widowControl/>
        <w:spacing w:line="400" w:lineRule="exact"/>
        <w:jc w:val="left"/>
        <w:rPr>
          <w:rFonts w:ascii="仿宋" w:eastAsia="仿宋" w:hAnsi="仿宋" w:cs="宋体"/>
          <w:color w:val="333333"/>
          <w:kern w:val="0"/>
          <w:sz w:val="32"/>
          <w:szCs w:val="32"/>
        </w:rPr>
      </w:pPr>
      <w:r w:rsidRPr="008E76D1">
        <w:rPr>
          <w:rFonts w:ascii="仿宋" w:eastAsia="仿宋" w:hAnsi="仿宋" w:cs="宋体"/>
          <w:color w:val="333333"/>
          <w:kern w:val="0"/>
          <w:sz w:val="32"/>
          <w:szCs w:val="32"/>
        </w:rPr>
        <w:t>附件</w:t>
      </w:r>
      <w:r w:rsidR="008E76D1" w:rsidRPr="008E76D1">
        <w:rPr>
          <w:rFonts w:ascii="仿宋" w:eastAsia="仿宋" w:hAnsi="仿宋" w:cs="宋体" w:hint="eastAsia"/>
          <w:color w:val="333333"/>
          <w:kern w:val="0"/>
          <w:sz w:val="32"/>
          <w:szCs w:val="32"/>
        </w:rPr>
        <w:t>4</w:t>
      </w:r>
    </w:p>
    <w:p w:rsidR="006E2724" w:rsidRPr="000C6D27" w:rsidRDefault="004D72C6" w:rsidP="00A24E46">
      <w:pPr>
        <w:widowControl/>
        <w:spacing w:before="100" w:beforeAutospacing="1" w:after="92" w:line="400" w:lineRule="exact"/>
        <w:ind w:firstLine="480"/>
        <w:jc w:val="center"/>
        <w:rPr>
          <w:rFonts w:ascii="华文中宋" w:eastAsia="华文中宋" w:hAnsi="华文中宋" w:cs="宋体"/>
          <w:color w:val="333333"/>
          <w:kern w:val="0"/>
          <w:sz w:val="32"/>
          <w:szCs w:val="32"/>
        </w:rPr>
      </w:pPr>
      <w:r>
        <w:rPr>
          <w:rFonts w:ascii="华文中宋" w:eastAsia="华文中宋" w:hAnsi="华文中宋" w:cs="Arial" w:hint="eastAsia"/>
          <w:b/>
          <w:bCs/>
          <w:color w:val="333333"/>
          <w:kern w:val="0"/>
          <w:sz w:val="32"/>
          <w:szCs w:val="32"/>
        </w:rPr>
        <w:t>宝山</w:t>
      </w:r>
      <w:r w:rsidR="006E2724" w:rsidRPr="000C6D27">
        <w:rPr>
          <w:rFonts w:ascii="华文中宋" w:eastAsia="华文中宋" w:hAnsi="华文中宋" w:cs="Arial" w:hint="eastAsia"/>
          <w:b/>
          <w:bCs/>
          <w:color w:val="333333"/>
          <w:kern w:val="0"/>
          <w:sz w:val="32"/>
          <w:szCs w:val="32"/>
        </w:rPr>
        <w:t>区纳管工业企业评估结论汇总表</w:t>
      </w:r>
    </w:p>
    <w:tbl>
      <w:tblPr>
        <w:tblW w:w="5167" w:type="pct"/>
        <w:jc w:val="center"/>
        <w:tblCellMar>
          <w:left w:w="0" w:type="dxa"/>
          <w:right w:w="0" w:type="dxa"/>
        </w:tblCellMar>
        <w:tblLook w:val="04A0"/>
      </w:tblPr>
      <w:tblGrid>
        <w:gridCol w:w="687"/>
        <w:gridCol w:w="1609"/>
        <w:gridCol w:w="1288"/>
        <w:gridCol w:w="1386"/>
        <w:gridCol w:w="1141"/>
        <w:gridCol w:w="1386"/>
        <w:gridCol w:w="1567"/>
        <w:gridCol w:w="1153"/>
        <w:gridCol w:w="1153"/>
        <w:gridCol w:w="3222"/>
      </w:tblGrid>
      <w:tr w:rsidR="006E2724" w:rsidRPr="006E2724" w:rsidTr="000C6D27">
        <w:trPr>
          <w:trHeight w:val="285"/>
          <w:jc w:val="center"/>
        </w:trPr>
        <w:tc>
          <w:tcPr>
            <w:tcW w:w="235" w:type="pct"/>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序号</w:t>
            </w:r>
          </w:p>
        </w:tc>
        <w:tc>
          <w:tcPr>
            <w:tcW w:w="551"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工业企业名称</w:t>
            </w:r>
          </w:p>
        </w:tc>
        <w:tc>
          <w:tcPr>
            <w:tcW w:w="441"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是否属于工业集聚区</w:t>
            </w:r>
          </w:p>
        </w:tc>
        <w:tc>
          <w:tcPr>
            <w:tcW w:w="47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工业集聚区名称</w:t>
            </w:r>
          </w:p>
        </w:tc>
        <w:tc>
          <w:tcPr>
            <w:tcW w:w="391"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排入城镇污水处理厂名称</w:t>
            </w:r>
          </w:p>
        </w:tc>
        <w:tc>
          <w:tcPr>
            <w:tcW w:w="47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是否已核发排污许可证</w:t>
            </w:r>
          </w:p>
        </w:tc>
        <w:tc>
          <w:tcPr>
            <w:tcW w:w="537"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是否已开展过全面达标评估</w:t>
            </w:r>
          </w:p>
        </w:tc>
        <w:tc>
          <w:tcPr>
            <w:tcW w:w="39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是否已核发排水许可证</w:t>
            </w:r>
          </w:p>
        </w:tc>
        <w:tc>
          <w:tcPr>
            <w:tcW w:w="39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是否复核</w:t>
            </w:r>
          </w:p>
        </w:tc>
        <w:tc>
          <w:tcPr>
            <w:tcW w:w="1104"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评估结论</w:t>
            </w:r>
          </w:p>
        </w:tc>
      </w:tr>
      <w:tr w:rsidR="006E2724" w:rsidRPr="006E2724" w:rsidTr="000C6D27">
        <w:trPr>
          <w:trHeight w:val="540"/>
          <w:jc w:val="center"/>
        </w:trPr>
        <w:tc>
          <w:tcPr>
            <w:tcW w:w="235" w:type="pct"/>
            <w:tcBorders>
              <w:top w:val="nil"/>
              <w:left w:val="single" w:sz="4" w:space="0" w:color="333333"/>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1</w:t>
            </w:r>
          </w:p>
        </w:tc>
        <w:tc>
          <w:tcPr>
            <w:tcW w:w="551"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41"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1"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537"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1104" w:type="pct"/>
            <w:tcBorders>
              <w:top w:val="nil"/>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通过</w:t>
            </w:r>
          </w:p>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污水不能稳定达标</w:t>
            </w:r>
          </w:p>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影响城镇污水处理厂正常运行</w:t>
            </w:r>
          </w:p>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其他（）</w:t>
            </w:r>
          </w:p>
        </w:tc>
      </w:tr>
      <w:tr w:rsidR="006E2724" w:rsidRPr="006E2724" w:rsidTr="000C6D27">
        <w:trPr>
          <w:trHeight w:val="420"/>
          <w:jc w:val="center"/>
        </w:trPr>
        <w:tc>
          <w:tcPr>
            <w:tcW w:w="235" w:type="pct"/>
            <w:tcBorders>
              <w:top w:val="single" w:sz="4" w:space="0" w:color="333333"/>
              <w:left w:val="single" w:sz="4" w:space="0" w:color="333333"/>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center"/>
              <w:rPr>
                <w:rFonts w:ascii="微软雅黑" w:eastAsia="微软雅黑" w:hAnsi="微软雅黑" w:cs="宋体"/>
                <w:color w:val="333333"/>
                <w:kern w:val="0"/>
                <w:szCs w:val="21"/>
              </w:rPr>
            </w:pPr>
            <w:r w:rsidRPr="006E2724">
              <w:rPr>
                <w:rFonts w:ascii="Arial" w:eastAsia="微软雅黑" w:hAnsi="Arial" w:cs="Arial"/>
                <w:color w:val="333333"/>
                <w:kern w:val="0"/>
                <w:szCs w:val="21"/>
              </w:rPr>
              <w:t>2</w:t>
            </w:r>
          </w:p>
        </w:tc>
        <w:tc>
          <w:tcPr>
            <w:tcW w:w="551"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41"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1"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537"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1104" w:type="pct"/>
            <w:tcBorders>
              <w:top w:val="single" w:sz="4" w:space="0" w:color="333333"/>
              <w:left w:val="nil"/>
              <w:bottom w:val="nil"/>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通过</w:t>
            </w:r>
          </w:p>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污水不能稳定达标</w:t>
            </w:r>
          </w:p>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影响城镇污水处理厂正常运行</w:t>
            </w:r>
          </w:p>
          <w:p w:rsidR="006E2724" w:rsidRPr="006E2724" w:rsidRDefault="006E2724" w:rsidP="00A24E46">
            <w:pPr>
              <w:widowControl/>
              <w:spacing w:line="240" w:lineRule="exact"/>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w:t>
            </w:r>
            <w:r w:rsidRPr="006E2724">
              <w:rPr>
                <w:rFonts w:ascii="Arial" w:eastAsia="微软雅黑" w:hAnsi="Arial" w:cs="Arial"/>
                <w:color w:val="333333"/>
                <w:kern w:val="0"/>
                <w:szCs w:val="21"/>
              </w:rPr>
              <w:t>其他（）</w:t>
            </w:r>
          </w:p>
        </w:tc>
      </w:tr>
      <w:tr w:rsidR="006E2724" w:rsidRPr="006E2724" w:rsidTr="000C6D27">
        <w:trPr>
          <w:trHeight w:val="420"/>
          <w:jc w:val="center"/>
        </w:trPr>
        <w:tc>
          <w:tcPr>
            <w:tcW w:w="235" w:type="pct"/>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551"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41"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1"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537"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1104" w:type="pct"/>
            <w:tcBorders>
              <w:top w:val="single" w:sz="4" w:space="0" w:color="333333"/>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r>
      <w:tr w:rsidR="006E2724" w:rsidRPr="006E2724" w:rsidTr="000C6D27">
        <w:trPr>
          <w:trHeight w:val="420"/>
          <w:jc w:val="center"/>
        </w:trPr>
        <w:tc>
          <w:tcPr>
            <w:tcW w:w="235" w:type="pct"/>
            <w:tcBorders>
              <w:top w:val="nil"/>
              <w:left w:val="single" w:sz="4" w:space="0" w:color="333333"/>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551"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41"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1"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475"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537"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395"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c>
          <w:tcPr>
            <w:tcW w:w="1104" w:type="pct"/>
            <w:tcBorders>
              <w:top w:val="nil"/>
              <w:left w:val="nil"/>
              <w:bottom w:val="single" w:sz="4" w:space="0" w:color="333333"/>
              <w:right w:val="single" w:sz="4" w:space="0" w:color="333333"/>
            </w:tcBorders>
            <w:tcMar>
              <w:top w:w="0" w:type="dxa"/>
              <w:left w:w="81" w:type="dxa"/>
              <w:bottom w:w="0" w:type="dxa"/>
              <w:right w:w="81" w:type="dxa"/>
            </w:tcMar>
            <w:vAlign w:val="center"/>
            <w:hideMark/>
          </w:tcPr>
          <w:p w:rsidR="006E2724" w:rsidRPr="006E2724" w:rsidRDefault="006E2724" w:rsidP="00A24E46">
            <w:pPr>
              <w:widowControl/>
              <w:spacing w:line="240" w:lineRule="exact"/>
              <w:jc w:val="left"/>
              <w:rPr>
                <w:rFonts w:ascii="微软雅黑" w:eastAsia="微软雅黑" w:hAnsi="微软雅黑" w:cs="宋体"/>
                <w:color w:val="333333"/>
                <w:kern w:val="0"/>
                <w:szCs w:val="21"/>
              </w:rPr>
            </w:pPr>
          </w:p>
        </w:tc>
      </w:tr>
    </w:tbl>
    <w:p w:rsidR="006E2724" w:rsidRPr="006E2724" w:rsidRDefault="006E2724" w:rsidP="00A24E46">
      <w:pPr>
        <w:widowControl/>
        <w:spacing w:before="100" w:beforeAutospacing="1" w:after="100" w:afterAutospacing="1" w:line="400" w:lineRule="exact"/>
        <w:ind w:firstLine="480"/>
        <w:jc w:val="left"/>
        <w:rPr>
          <w:rFonts w:ascii="微软雅黑" w:eastAsia="微软雅黑" w:hAnsi="微软雅黑" w:cs="宋体"/>
          <w:color w:val="333333"/>
          <w:kern w:val="0"/>
          <w:szCs w:val="21"/>
        </w:rPr>
      </w:pPr>
      <w:r w:rsidRPr="006E2724">
        <w:rPr>
          <w:rFonts w:ascii="Arial" w:eastAsia="微软雅黑" w:hAnsi="Arial" w:cs="Arial"/>
          <w:color w:val="333333"/>
          <w:kern w:val="0"/>
          <w:szCs w:val="21"/>
        </w:rPr>
        <w:t>注：经过复核或评估，纳管企业污水能稳定达标排放，且不影响污水处理厂正常运行情况的，评估结论视作通过；存在污水不能稳定达标排放或者影响污水处理厂正常运行或者不能被污水处理</w:t>
      </w:r>
      <w:proofErr w:type="gramStart"/>
      <w:r w:rsidRPr="006E2724">
        <w:rPr>
          <w:rFonts w:ascii="Arial" w:eastAsia="微软雅黑" w:hAnsi="Arial" w:cs="Arial"/>
          <w:color w:val="333333"/>
          <w:kern w:val="0"/>
          <w:szCs w:val="21"/>
        </w:rPr>
        <w:t>厂有效</w:t>
      </w:r>
      <w:proofErr w:type="gramEnd"/>
      <w:r w:rsidRPr="006E2724">
        <w:rPr>
          <w:rFonts w:ascii="Arial" w:eastAsia="微软雅黑" w:hAnsi="Arial" w:cs="Arial"/>
          <w:color w:val="333333"/>
          <w:kern w:val="0"/>
          <w:szCs w:val="21"/>
        </w:rPr>
        <w:t>处理的，评估结论中说明详细情况。</w:t>
      </w:r>
    </w:p>
    <w:p w:rsidR="00B45A93" w:rsidRPr="006E2724" w:rsidRDefault="00B45A93" w:rsidP="00A24E46">
      <w:pPr>
        <w:spacing w:line="400" w:lineRule="exact"/>
      </w:pPr>
    </w:p>
    <w:sectPr w:rsidR="00B45A93" w:rsidRPr="006E2724" w:rsidSect="0020210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3F" w:rsidRDefault="00E5323F" w:rsidP="006E2724">
      <w:r>
        <w:separator/>
      </w:r>
    </w:p>
  </w:endnote>
  <w:endnote w:type="continuationSeparator" w:id="0">
    <w:p w:rsidR="00E5323F" w:rsidRDefault="00E5323F" w:rsidP="006E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3F" w:rsidRDefault="00E5323F" w:rsidP="006E2724">
      <w:r>
        <w:separator/>
      </w:r>
    </w:p>
  </w:footnote>
  <w:footnote w:type="continuationSeparator" w:id="0">
    <w:p w:rsidR="00E5323F" w:rsidRDefault="00E5323F" w:rsidP="006E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724"/>
    <w:rsid w:val="000060DE"/>
    <w:rsid w:val="000C6D27"/>
    <w:rsid w:val="000E543E"/>
    <w:rsid w:val="001164DA"/>
    <w:rsid w:val="001166D2"/>
    <w:rsid w:val="001219EF"/>
    <w:rsid w:val="00164C55"/>
    <w:rsid w:val="00181102"/>
    <w:rsid w:val="00202104"/>
    <w:rsid w:val="00232774"/>
    <w:rsid w:val="002F2758"/>
    <w:rsid w:val="003211B3"/>
    <w:rsid w:val="00380FDC"/>
    <w:rsid w:val="003E2C81"/>
    <w:rsid w:val="003F067B"/>
    <w:rsid w:val="0041608B"/>
    <w:rsid w:val="004D308D"/>
    <w:rsid w:val="004D72C6"/>
    <w:rsid w:val="004D7AC5"/>
    <w:rsid w:val="00515BFE"/>
    <w:rsid w:val="005E2A24"/>
    <w:rsid w:val="00603C81"/>
    <w:rsid w:val="00607BF6"/>
    <w:rsid w:val="0062159F"/>
    <w:rsid w:val="00624705"/>
    <w:rsid w:val="006E2724"/>
    <w:rsid w:val="0072063E"/>
    <w:rsid w:val="00760B3E"/>
    <w:rsid w:val="007A23D9"/>
    <w:rsid w:val="007D1011"/>
    <w:rsid w:val="008664E1"/>
    <w:rsid w:val="008738E9"/>
    <w:rsid w:val="008E76D1"/>
    <w:rsid w:val="00902E04"/>
    <w:rsid w:val="00945EE8"/>
    <w:rsid w:val="00973539"/>
    <w:rsid w:val="00981B84"/>
    <w:rsid w:val="009F6273"/>
    <w:rsid w:val="00A12A68"/>
    <w:rsid w:val="00A24E46"/>
    <w:rsid w:val="00A555E2"/>
    <w:rsid w:val="00A851A6"/>
    <w:rsid w:val="00AA313D"/>
    <w:rsid w:val="00B00333"/>
    <w:rsid w:val="00B27945"/>
    <w:rsid w:val="00B45A93"/>
    <w:rsid w:val="00B870B6"/>
    <w:rsid w:val="00C33633"/>
    <w:rsid w:val="00C75156"/>
    <w:rsid w:val="00CD37A7"/>
    <w:rsid w:val="00CD64D0"/>
    <w:rsid w:val="00CF7DE2"/>
    <w:rsid w:val="00D46A9F"/>
    <w:rsid w:val="00DA2A2B"/>
    <w:rsid w:val="00DF3AEB"/>
    <w:rsid w:val="00E5323F"/>
    <w:rsid w:val="00E97B7C"/>
    <w:rsid w:val="00FB0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2724"/>
    <w:rPr>
      <w:sz w:val="18"/>
      <w:szCs w:val="18"/>
    </w:rPr>
  </w:style>
  <w:style w:type="paragraph" w:styleId="a4">
    <w:name w:val="footer"/>
    <w:basedOn w:val="a"/>
    <w:link w:val="Char0"/>
    <w:uiPriority w:val="99"/>
    <w:semiHidden/>
    <w:unhideWhenUsed/>
    <w:rsid w:val="006E27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2724"/>
    <w:rPr>
      <w:sz w:val="18"/>
      <w:szCs w:val="18"/>
    </w:rPr>
  </w:style>
  <w:style w:type="character" w:styleId="a5">
    <w:name w:val="Emphasis"/>
    <w:basedOn w:val="a0"/>
    <w:uiPriority w:val="20"/>
    <w:qFormat/>
    <w:rsid w:val="006E2724"/>
    <w:rPr>
      <w:i w:val="0"/>
      <w:iCs w:val="0"/>
    </w:rPr>
  </w:style>
  <w:style w:type="paragraph" w:styleId="a6">
    <w:name w:val="Normal (Web)"/>
    <w:basedOn w:val="a"/>
    <w:uiPriority w:val="99"/>
    <w:unhideWhenUsed/>
    <w:rsid w:val="006E272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2724"/>
    <w:rPr>
      <w:b/>
      <w:bCs/>
    </w:rPr>
  </w:style>
  <w:style w:type="paragraph" w:styleId="a8">
    <w:name w:val="Balloon Text"/>
    <w:basedOn w:val="a"/>
    <w:link w:val="Char1"/>
    <w:uiPriority w:val="99"/>
    <w:semiHidden/>
    <w:unhideWhenUsed/>
    <w:rsid w:val="006E2724"/>
    <w:rPr>
      <w:sz w:val="18"/>
      <w:szCs w:val="18"/>
    </w:rPr>
  </w:style>
  <w:style w:type="character" w:customStyle="1" w:styleId="Char1">
    <w:name w:val="批注框文本 Char"/>
    <w:basedOn w:val="a0"/>
    <w:link w:val="a8"/>
    <w:uiPriority w:val="99"/>
    <w:semiHidden/>
    <w:rsid w:val="006E2724"/>
    <w:rPr>
      <w:sz w:val="18"/>
      <w:szCs w:val="18"/>
    </w:rPr>
  </w:style>
</w:styles>
</file>

<file path=word/webSettings.xml><?xml version="1.0" encoding="utf-8"?>
<w:webSettings xmlns:r="http://schemas.openxmlformats.org/officeDocument/2006/relationships" xmlns:w="http://schemas.openxmlformats.org/wordprocessingml/2006/main">
  <w:divs>
    <w:div w:id="87570270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77">
          <w:marLeft w:val="0"/>
          <w:marRight w:val="0"/>
          <w:marTop w:val="0"/>
          <w:marBottom w:val="0"/>
          <w:divBdr>
            <w:top w:val="none" w:sz="0" w:space="0" w:color="auto"/>
            <w:left w:val="none" w:sz="0" w:space="0" w:color="auto"/>
            <w:bottom w:val="none" w:sz="0" w:space="0" w:color="auto"/>
            <w:right w:val="none" w:sz="0" w:space="0" w:color="auto"/>
          </w:divBdr>
          <w:divsChild>
            <w:div w:id="1755979273">
              <w:marLeft w:val="0"/>
              <w:marRight w:val="0"/>
              <w:marTop w:val="0"/>
              <w:marBottom w:val="0"/>
              <w:divBdr>
                <w:top w:val="none" w:sz="0" w:space="0" w:color="auto"/>
                <w:left w:val="none" w:sz="0" w:space="0" w:color="auto"/>
                <w:bottom w:val="none" w:sz="0" w:space="0" w:color="auto"/>
                <w:right w:val="none" w:sz="0" w:space="0" w:color="auto"/>
              </w:divBdr>
              <w:divsChild>
                <w:div w:id="1372338129">
                  <w:marLeft w:val="0"/>
                  <w:marRight w:val="0"/>
                  <w:marTop w:val="230"/>
                  <w:marBottom w:val="0"/>
                  <w:divBdr>
                    <w:top w:val="single" w:sz="4" w:space="0" w:color="CCCCCC"/>
                    <w:left w:val="single" w:sz="4" w:space="31" w:color="CCCCCC"/>
                    <w:bottom w:val="single" w:sz="4" w:space="31" w:color="CCCCCC"/>
                    <w:right w:val="single" w:sz="4" w:space="31" w:color="CCCCCC"/>
                  </w:divBdr>
                  <w:divsChild>
                    <w:div w:id="222102047">
                      <w:marLeft w:val="0"/>
                      <w:marRight w:val="0"/>
                      <w:marTop w:val="576"/>
                      <w:marBottom w:val="323"/>
                      <w:divBdr>
                        <w:top w:val="none" w:sz="0" w:space="0" w:color="auto"/>
                        <w:left w:val="none" w:sz="0" w:space="0" w:color="auto"/>
                        <w:bottom w:val="single" w:sz="8" w:space="6" w:color="0071BC"/>
                        <w:right w:val="none" w:sz="0" w:space="0" w:color="auto"/>
                      </w:divBdr>
                    </w:div>
                    <w:div w:id="894514398">
                      <w:marLeft w:val="0"/>
                      <w:marRight w:val="0"/>
                      <w:marTop w:val="0"/>
                      <w:marBottom w:val="346"/>
                      <w:divBdr>
                        <w:top w:val="none" w:sz="0" w:space="0" w:color="auto"/>
                        <w:left w:val="none" w:sz="0" w:space="0" w:color="auto"/>
                        <w:bottom w:val="none" w:sz="0" w:space="0" w:color="auto"/>
                        <w:right w:val="none" w:sz="0" w:space="0" w:color="auto"/>
                      </w:divBdr>
                      <w:divsChild>
                        <w:div w:id="1467964926">
                          <w:marLeft w:val="0"/>
                          <w:marRight w:val="0"/>
                          <w:marTop w:val="0"/>
                          <w:marBottom w:val="0"/>
                          <w:divBdr>
                            <w:top w:val="none" w:sz="0" w:space="0" w:color="auto"/>
                            <w:left w:val="none" w:sz="0" w:space="0" w:color="auto"/>
                            <w:bottom w:val="none" w:sz="0" w:space="0" w:color="auto"/>
                            <w:right w:val="none" w:sz="0" w:space="0" w:color="auto"/>
                          </w:divBdr>
                        </w:div>
                        <w:div w:id="2017925340">
                          <w:marLeft w:val="0"/>
                          <w:marRight w:val="0"/>
                          <w:marTop w:val="0"/>
                          <w:marBottom w:val="0"/>
                          <w:divBdr>
                            <w:top w:val="none" w:sz="0" w:space="0" w:color="auto"/>
                            <w:left w:val="none" w:sz="0" w:space="0" w:color="auto"/>
                            <w:bottom w:val="none" w:sz="0" w:space="0" w:color="auto"/>
                            <w:right w:val="none" w:sz="0" w:space="0" w:color="auto"/>
                          </w:divBdr>
                        </w:div>
                      </w:divsChild>
                    </w:div>
                    <w:div w:id="796797280">
                      <w:marLeft w:val="0"/>
                      <w:marRight w:val="0"/>
                      <w:marTop w:val="0"/>
                      <w:marBottom w:val="0"/>
                      <w:divBdr>
                        <w:top w:val="none" w:sz="0" w:space="0" w:color="auto"/>
                        <w:left w:val="none" w:sz="0" w:space="0" w:color="auto"/>
                        <w:bottom w:val="none" w:sz="0" w:space="0" w:color="auto"/>
                        <w:right w:val="none" w:sz="0" w:space="0" w:color="auto"/>
                      </w:divBdr>
                      <w:divsChild>
                        <w:div w:id="12186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沈跃群(沈跃群:绉戦暱鎵圭ず)</dc:creator>
  <cp:lastModifiedBy>沈跃群(沈跃群:绉戦暱鎵圭ず)</cp:lastModifiedBy>
  <cp:revision>5</cp:revision>
  <dcterms:created xsi:type="dcterms:W3CDTF">2020-11-28T04:28:00Z</dcterms:created>
  <dcterms:modified xsi:type="dcterms:W3CDTF">2020-11-28T04:30:00Z</dcterms:modified>
</cp:coreProperties>
</file>