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华文中宋" w:hAnsi="华文中宋" w:eastAsia="华文中宋"/>
          <w:b/>
          <w:bCs/>
          <w:sz w:val="44"/>
          <w:szCs w:val="44"/>
        </w:rPr>
      </w:pPr>
      <w:r>
        <w:rPr>
          <w:rFonts w:hint="eastAsia" w:ascii="华文中宋" w:hAnsi="华文中宋" w:eastAsia="华文中宋"/>
          <w:b/>
          <w:bCs/>
          <w:sz w:val="44"/>
          <w:szCs w:val="44"/>
        </w:rPr>
        <w:t>吴淞街道关于下属经济公司集体决策经济事项的</w:t>
      </w:r>
      <w:r>
        <w:rPr>
          <w:rFonts w:hint="eastAsia" w:ascii="华文中宋" w:hAnsi="华文中宋" w:eastAsia="华文中宋"/>
          <w:b/>
          <w:bCs/>
          <w:sz w:val="44"/>
          <w:szCs w:val="44"/>
          <w:lang w:eastAsia="zh-CN"/>
        </w:rPr>
        <w:t>暂行</w:t>
      </w:r>
      <w:r>
        <w:rPr>
          <w:rFonts w:hint="eastAsia" w:ascii="华文中宋" w:hAnsi="华文中宋" w:eastAsia="华文中宋"/>
          <w:b/>
          <w:bCs/>
          <w:sz w:val="44"/>
          <w:szCs w:val="44"/>
        </w:rPr>
        <w:t>规定</w:t>
      </w:r>
    </w:p>
    <w:p>
      <w:pPr>
        <w:spacing w:line="560" w:lineRule="exact"/>
        <w:ind w:firstLine="880" w:firstLineChars="200"/>
        <w:rPr>
          <w:rFonts w:ascii="华文中宋" w:hAnsi="华文中宋" w:eastAsia="华文中宋"/>
          <w:sz w:val="44"/>
          <w:szCs w:val="44"/>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为进一步加强街道</w:t>
      </w:r>
      <w:r>
        <w:rPr>
          <w:rFonts w:hint="eastAsia" w:ascii="Times New Roman" w:hAnsi="Times New Roman" w:eastAsia="仿宋_GB2312"/>
          <w:sz w:val="32"/>
          <w:szCs w:val="32"/>
          <w:lang w:eastAsia="zh-CN"/>
        </w:rPr>
        <w:t>下属经济公司</w:t>
      </w:r>
      <w:r>
        <w:rPr>
          <w:rFonts w:hint="eastAsia" w:ascii="Times New Roman" w:hAnsi="Times New Roman" w:eastAsia="仿宋_GB2312"/>
          <w:sz w:val="32"/>
          <w:szCs w:val="32"/>
        </w:rPr>
        <w:t>的管理规范，在执行《吴淞街道工作委员会关于进一步完善</w:t>
      </w:r>
      <w:r>
        <w:rPr>
          <w:rFonts w:ascii="Times New Roman" w:hAnsi="Times New Roman" w:eastAsia="仿宋_GB2312"/>
          <w:sz w:val="32"/>
          <w:szCs w:val="32"/>
        </w:rPr>
        <w:t>“</w:t>
      </w:r>
      <w:r>
        <w:rPr>
          <w:rFonts w:hint="eastAsia" w:ascii="Times New Roman" w:hAnsi="Times New Roman" w:eastAsia="仿宋_GB2312"/>
          <w:sz w:val="32"/>
          <w:szCs w:val="32"/>
        </w:rPr>
        <w:t>三重一大</w:t>
      </w:r>
      <w:r>
        <w:rPr>
          <w:rFonts w:ascii="Times New Roman" w:hAnsi="Times New Roman" w:eastAsia="仿宋_GB2312"/>
          <w:sz w:val="32"/>
          <w:szCs w:val="32"/>
        </w:rPr>
        <w:t>”</w:t>
      </w:r>
      <w:r>
        <w:rPr>
          <w:rFonts w:hint="eastAsia" w:ascii="Times New Roman" w:hAnsi="Times New Roman" w:eastAsia="仿宋_GB2312"/>
          <w:sz w:val="32"/>
          <w:szCs w:val="32"/>
        </w:rPr>
        <w:t>事项集体决策制度的实施办法》和《吴淞街道办事处主任办公会议工作规范》的基础上，现将街道下属公司涉及需由街道集体决策的经济事项规定如下：</w:t>
      </w:r>
    </w:p>
    <w:p>
      <w:pPr>
        <w:numPr>
          <w:ilvl w:val="0"/>
          <w:numId w:val="1"/>
        </w:numPr>
        <w:autoSpaceDE w:val="0"/>
        <w:autoSpaceDN w:val="0"/>
        <w:adjustRightInd w:val="0"/>
        <w:snapToGrid w:val="0"/>
        <w:spacing w:line="560" w:lineRule="exact"/>
        <w:ind w:firstLine="646"/>
        <w:rPr>
          <w:rFonts w:ascii="Times New Roman" w:hAnsi="Times New Roman" w:eastAsia="黑体"/>
          <w:sz w:val="32"/>
          <w:szCs w:val="32"/>
        </w:rPr>
      </w:pPr>
      <w:r>
        <w:rPr>
          <w:rFonts w:hint="eastAsia" w:ascii="Times New Roman" w:hAnsi="Times New Roman" w:eastAsia="黑体"/>
          <w:sz w:val="32"/>
          <w:szCs w:val="32"/>
        </w:rPr>
        <w:t>事项范围</w:t>
      </w:r>
    </w:p>
    <w:p>
      <w:pPr>
        <w:numPr>
          <w:ilvl w:val="0"/>
          <w:numId w:val="2"/>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下属公司重点工程、重大项目立项、建设，包括购置租赁商务楼宇，办公用房搬迁以及小型工程</w:t>
      </w:r>
      <w:r>
        <w:rPr>
          <w:rFonts w:ascii="Times New Roman" w:hAnsi="Times New Roman" w:eastAsia="仿宋_GB2312"/>
          <w:sz w:val="32"/>
          <w:szCs w:val="32"/>
        </w:rPr>
        <w:t>5</w:t>
      </w:r>
      <w:r>
        <w:rPr>
          <w:rFonts w:hint="eastAsia" w:ascii="Times New Roman" w:hAnsi="Times New Roman" w:eastAsia="仿宋_GB2312"/>
          <w:sz w:val="32"/>
          <w:szCs w:val="32"/>
        </w:rPr>
        <w:t>万元（含）以上等项目；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、下属公司单笔费用</w:t>
      </w:r>
      <w:r>
        <w:rPr>
          <w:rFonts w:ascii="Times New Roman" w:hAnsi="Times New Roman" w:eastAsia="仿宋_GB2312"/>
          <w:sz w:val="32"/>
          <w:szCs w:val="32"/>
        </w:rPr>
        <w:t>20</w:t>
      </w:r>
      <w:r>
        <w:rPr>
          <w:rFonts w:hint="eastAsia" w:ascii="Times New Roman" w:hAnsi="Times New Roman" w:eastAsia="仿宋_GB2312"/>
          <w:sz w:val="32"/>
          <w:szCs w:val="32"/>
        </w:rPr>
        <w:t>万元（含）以上的支出（但需支付的日常经费不受以上金额限制：员工工资、伙食费、税费、水电费等）；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、下属公司对外投资、参股、增资等；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、招商公司企业财政扶持资金的安排；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、下属公司公务车辆改革，以及公务车辆购置、更新、报废等；</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招商公司制定超过本公司可结算财政政策比例的相关扶持政策（包括“一事一议”特殊政策）；</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、资产管理公司房屋租赁项目在确定租金时结合项目业态、税收产出、房屋装潢等因素综合考虑，租金低于地区市场租金水平</w:t>
      </w:r>
      <w:r>
        <w:rPr>
          <w:rFonts w:ascii="Times New Roman" w:hAnsi="Times New Roman" w:eastAsia="仿宋_GB2312"/>
          <w:sz w:val="32"/>
          <w:szCs w:val="32"/>
        </w:rPr>
        <w:t>20%</w:t>
      </w:r>
      <w:r>
        <w:rPr>
          <w:rFonts w:hint="eastAsia" w:ascii="Times New Roman" w:hAnsi="Times New Roman" w:eastAsia="仿宋_GB2312"/>
          <w:sz w:val="32"/>
          <w:szCs w:val="32"/>
        </w:rPr>
        <w:t>以上，或租赁期限超过</w:t>
      </w:r>
      <w:r>
        <w:rPr>
          <w:rFonts w:ascii="Times New Roman" w:hAnsi="Times New Roman" w:eastAsia="仿宋_GB2312"/>
          <w:sz w:val="32"/>
          <w:szCs w:val="32"/>
        </w:rPr>
        <w:t>3</w:t>
      </w:r>
      <w:r>
        <w:rPr>
          <w:rFonts w:hint="eastAsia" w:ascii="Times New Roman" w:hAnsi="Times New Roman" w:eastAsia="仿宋_GB2312"/>
          <w:sz w:val="32"/>
          <w:szCs w:val="32"/>
        </w:rPr>
        <w:t>年（不含</w:t>
      </w:r>
      <w:r>
        <w:rPr>
          <w:rFonts w:ascii="Times New Roman" w:hAnsi="Times New Roman" w:eastAsia="仿宋_GB2312"/>
          <w:sz w:val="32"/>
          <w:szCs w:val="32"/>
        </w:rPr>
        <w:t>3</w:t>
      </w:r>
      <w:r>
        <w:rPr>
          <w:rFonts w:hint="eastAsia" w:ascii="Times New Roman" w:hAnsi="Times New Roman" w:eastAsia="仿宋_GB2312"/>
          <w:sz w:val="32"/>
          <w:szCs w:val="32"/>
        </w:rPr>
        <w:t>年），或房屋承租对象属于房屋租赁负面清单中的项目；</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、其他需要上报的事项。</w:t>
      </w:r>
    </w:p>
    <w:p>
      <w:pPr>
        <w:numPr>
          <w:ilvl w:val="0"/>
          <w:numId w:val="1"/>
        </w:numPr>
        <w:autoSpaceDE w:val="0"/>
        <w:autoSpaceDN w:val="0"/>
        <w:adjustRightInd w:val="0"/>
        <w:snapToGrid w:val="0"/>
        <w:spacing w:line="560" w:lineRule="exact"/>
        <w:ind w:firstLine="646"/>
        <w:rPr>
          <w:rFonts w:ascii="Times New Roman" w:hAnsi="Times New Roman" w:eastAsia="黑体"/>
          <w:sz w:val="32"/>
          <w:szCs w:val="32"/>
        </w:rPr>
      </w:pPr>
      <w:r>
        <w:rPr>
          <w:rFonts w:hint="eastAsia" w:ascii="Times New Roman" w:hAnsi="Times New Roman" w:eastAsia="黑体"/>
          <w:sz w:val="32"/>
          <w:szCs w:val="32"/>
        </w:rPr>
        <w:t>决策流程</w:t>
      </w:r>
    </w:p>
    <w:p>
      <w:pPr>
        <w:autoSpaceDE w:val="0"/>
        <w:autoSpaceDN w:val="0"/>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上述事项由公司进行集体讨论后提出具体议题，经街道分管领导审核后上报主任办公会研究决定。属街道“三重一大”范围的事项还须由街道党工委会议审议。</w:t>
      </w:r>
    </w:p>
    <w:p>
      <w:pPr>
        <w:numPr>
          <w:ilvl w:val="0"/>
          <w:numId w:val="1"/>
        </w:numPr>
        <w:autoSpaceDE w:val="0"/>
        <w:autoSpaceDN w:val="0"/>
        <w:adjustRightInd w:val="0"/>
        <w:snapToGrid w:val="0"/>
        <w:spacing w:line="560" w:lineRule="exact"/>
        <w:ind w:firstLine="646"/>
        <w:rPr>
          <w:rFonts w:ascii="Times New Roman" w:hAnsi="Times New Roman" w:eastAsia="黑体"/>
          <w:sz w:val="32"/>
          <w:szCs w:val="32"/>
        </w:rPr>
      </w:pPr>
      <w:r>
        <w:rPr>
          <w:rFonts w:hint="eastAsia" w:ascii="Times New Roman" w:hAnsi="Times New Roman" w:eastAsia="黑体"/>
          <w:sz w:val="32"/>
          <w:szCs w:val="32"/>
        </w:rPr>
        <w:t>工作要求</w:t>
      </w:r>
    </w:p>
    <w:p>
      <w:pPr>
        <w:numPr>
          <w:ilvl w:val="0"/>
          <w:numId w:val="3"/>
        </w:num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w:t>
      </w:r>
      <w:r>
        <w:rPr>
          <w:rFonts w:hint="eastAsia" w:ascii="Times New Roman" w:hAnsi="Times New Roman" w:eastAsia="仿宋_GB2312"/>
          <w:sz w:val="32"/>
          <w:szCs w:val="32"/>
        </w:rPr>
        <w:t>《吴淞街道工作委员会关于进一步完善</w:t>
      </w:r>
      <w:r>
        <w:rPr>
          <w:rFonts w:ascii="Times New Roman" w:hAnsi="Times New Roman" w:eastAsia="仿宋_GB2312"/>
          <w:sz w:val="32"/>
          <w:szCs w:val="32"/>
        </w:rPr>
        <w:t>“</w:t>
      </w:r>
      <w:r>
        <w:rPr>
          <w:rFonts w:hint="eastAsia" w:ascii="Times New Roman" w:hAnsi="Times New Roman" w:eastAsia="仿宋_GB2312"/>
          <w:sz w:val="32"/>
          <w:szCs w:val="32"/>
        </w:rPr>
        <w:t>三重一大</w:t>
      </w:r>
      <w:r>
        <w:rPr>
          <w:rFonts w:ascii="Times New Roman" w:hAnsi="Times New Roman" w:eastAsia="仿宋_GB2312"/>
          <w:sz w:val="32"/>
          <w:szCs w:val="32"/>
        </w:rPr>
        <w:t>”</w:t>
      </w:r>
      <w:r>
        <w:rPr>
          <w:rFonts w:hint="eastAsia" w:ascii="Times New Roman" w:hAnsi="Times New Roman" w:eastAsia="仿宋_GB2312"/>
          <w:sz w:val="32"/>
          <w:szCs w:val="32"/>
        </w:rPr>
        <w:t>事项集体决策制度的实施办法》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《吴淞街道办事处主任办公会议工作规范》</w:t>
      </w:r>
      <w:r>
        <w:rPr>
          <w:rFonts w:hint="eastAsia" w:ascii="Times New Roman" w:hAnsi="Times New Roman" w:eastAsia="仿宋_GB2312"/>
          <w:sz w:val="32"/>
          <w:szCs w:val="32"/>
          <w:lang w:eastAsia="zh-CN"/>
        </w:rPr>
        <w:t>以及</w:t>
      </w:r>
      <w:r>
        <w:rPr>
          <w:rFonts w:hint="eastAsia" w:ascii="仿宋_GB2312" w:hAnsi="仿宋_GB2312" w:eastAsia="仿宋_GB2312" w:cs="仿宋_GB2312"/>
          <w:bCs/>
          <w:sz w:val="32"/>
          <w:szCs w:val="32"/>
        </w:rPr>
        <w:t>本规定的基础上，下属公司须建立健全内部议事制度，相关制度报街道相关部门备案。</w:t>
      </w:r>
    </w:p>
    <w:p>
      <w:pPr>
        <w:numPr>
          <w:ilvl w:val="0"/>
          <w:numId w:val="3"/>
        </w:num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下属公司在运营管理过程中集体决策的事项，须定期汇总后向街道相关部门报备。</w:t>
      </w:r>
    </w:p>
    <w:p>
      <w:pPr>
        <w:numPr>
          <w:ilvl w:val="0"/>
          <w:numId w:val="3"/>
        </w:num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街道监察、审计部门对下属公司集体决策制度执行情况进行日常监督并开展检查。</w:t>
      </w:r>
    </w:p>
    <w:p>
      <w:pPr>
        <w:spacing w:line="560" w:lineRule="exact"/>
        <w:ind w:right="840" w:rightChars="400" w:firstLine="640" w:firstLineChars="200"/>
        <w:jc w:val="right"/>
        <w:rPr>
          <w:rFonts w:ascii="仿宋_GB2312" w:hAnsi="仿宋_GB2312" w:eastAsia="仿宋_GB2312" w:cs="仿宋_GB2312"/>
          <w:bCs/>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1EF8D8"/>
    <w:multiLevelType w:val="singleLevel"/>
    <w:tmpl w:val="FF1EF8D8"/>
    <w:lvl w:ilvl="0" w:tentative="0">
      <w:start w:val="1"/>
      <w:numFmt w:val="decimal"/>
      <w:suff w:val="nothing"/>
      <w:lvlText w:val="%1、"/>
      <w:lvlJc w:val="left"/>
      <w:rPr>
        <w:rFonts w:cs="Times New Roman"/>
      </w:rPr>
    </w:lvl>
  </w:abstractNum>
  <w:abstractNum w:abstractNumId="1">
    <w:nsid w:val="0E7F31DC"/>
    <w:multiLevelType w:val="singleLevel"/>
    <w:tmpl w:val="0E7F31DC"/>
    <w:lvl w:ilvl="0" w:tentative="0">
      <w:start w:val="1"/>
      <w:numFmt w:val="chineseCounting"/>
      <w:suff w:val="nothing"/>
      <w:lvlText w:val="%1、"/>
      <w:lvlJc w:val="left"/>
      <w:rPr>
        <w:rFonts w:hint="eastAsia" w:cs="Times New Roman"/>
      </w:rPr>
    </w:lvl>
  </w:abstractNum>
  <w:abstractNum w:abstractNumId="2">
    <w:nsid w:val="2C2F5491"/>
    <w:multiLevelType w:val="singleLevel"/>
    <w:tmpl w:val="2C2F5491"/>
    <w:lvl w:ilvl="0" w:tentative="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FEE9F65"/>
    <w:rsid w:val="00033C4D"/>
    <w:rsid w:val="00116A99"/>
    <w:rsid w:val="001A77CF"/>
    <w:rsid w:val="001B0D3A"/>
    <w:rsid w:val="001F36DA"/>
    <w:rsid w:val="002172F7"/>
    <w:rsid w:val="0025610D"/>
    <w:rsid w:val="00304344"/>
    <w:rsid w:val="00402F84"/>
    <w:rsid w:val="004528C2"/>
    <w:rsid w:val="00502432"/>
    <w:rsid w:val="0052627D"/>
    <w:rsid w:val="00542851"/>
    <w:rsid w:val="00663CEE"/>
    <w:rsid w:val="006D2742"/>
    <w:rsid w:val="00711A7A"/>
    <w:rsid w:val="00785786"/>
    <w:rsid w:val="007A15EC"/>
    <w:rsid w:val="007D1B11"/>
    <w:rsid w:val="008444C4"/>
    <w:rsid w:val="0084624D"/>
    <w:rsid w:val="0089087F"/>
    <w:rsid w:val="00892B42"/>
    <w:rsid w:val="00945FC7"/>
    <w:rsid w:val="0097591F"/>
    <w:rsid w:val="00986ECA"/>
    <w:rsid w:val="009918AA"/>
    <w:rsid w:val="009D44BC"/>
    <w:rsid w:val="00AA439E"/>
    <w:rsid w:val="00AB32CE"/>
    <w:rsid w:val="00B6014E"/>
    <w:rsid w:val="00B92C93"/>
    <w:rsid w:val="00BA73E1"/>
    <w:rsid w:val="00BF0E69"/>
    <w:rsid w:val="00C42155"/>
    <w:rsid w:val="00C75264"/>
    <w:rsid w:val="00C864DD"/>
    <w:rsid w:val="00CE3BEF"/>
    <w:rsid w:val="00D07888"/>
    <w:rsid w:val="00D21E00"/>
    <w:rsid w:val="00D8593B"/>
    <w:rsid w:val="00F2740B"/>
    <w:rsid w:val="00F57C6C"/>
    <w:rsid w:val="00F74E74"/>
    <w:rsid w:val="00F91993"/>
    <w:rsid w:val="01600A26"/>
    <w:rsid w:val="03210255"/>
    <w:rsid w:val="047D2F56"/>
    <w:rsid w:val="073717E9"/>
    <w:rsid w:val="07676263"/>
    <w:rsid w:val="0A200724"/>
    <w:rsid w:val="0E0670B2"/>
    <w:rsid w:val="0F8D7CC7"/>
    <w:rsid w:val="0FBD1544"/>
    <w:rsid w:val="10A22058"/>
    <w:rsid w:val="10BF2131"/>
    <w:rsid w:val="13BF7BE1"/>
    <w:rsid w:val="13F60A60"/>
    <w:rsid w:val="14EE4327"/>
    <w:rsid w:val="166457CB"/>
    <w:rsid w:val="16835A5B"/>
    <w:rsid w:val="16A554CB"/>
    <w:rsid w:val="17FF1F5D"/>
    <w:rsid w:val="1ABD281C"/>
    <w:rsid w:val="1BB7D487"/>
    <w:rsid w:val="1BE4237E"/>
    <w:rsid w:val="1D57F3B3"/>
    <w:rsid w:val="1E5F265A"/>
    <w:rsid w:val="1E7BACA8"/>
    <w:rsid w:val="1EE30374"/>
    <w:rsid w:val="1F5B1985"/>
    <w:rsid w:val="1FFB6A4E"/>
    <w:rsid w:val="217E793D"/>
    <w:rsid w:val="21D01FF8"/>
    <w:rsid w:val="277A741E"/>
    <w:rsid w:val="277EB083"/>
    <w:rsid w:val="28264873"/>
    <w:rsid w:val="292566D9"/>
    <w:rsid w:val="2BADF5F3"/>
    <w:rsid w:val="2BFBB912"/>
    <w:rsid w:val="2C22213C"/>
    <w:rsid w:val="2DA627A5"/>
    <w:rsid w:val="2DBF348D"/>
    <w:rsid w:val="2DF6C3D4"/>
    <w:rsid w:val="2F39304E"/>
    <w:rsid w:val="2FBB5018"/>
    <w:rsid w:val="2FC808D3"/>
    <w:rsid w:val="2FDC2E70"/>
    <w:rsid w:val="2FDF65AF"/>
    <w:rsid w:val="2FEE9F65"/>
    <w:rsid w:val="2FF627D8"/>
    <w:rsid w:val="2FFB9724"/>
    <w:rsid w:val="2FFD04F3"/>
    <w:rsid w:val="2FFD46C1"/>
    <w:rsid w:val="30E7254E"/>
    <w:rsid w:val="31FA4684"/>
    <w:rsid w:val="32EF5202"/>
    <w:rsid w:val="35025E6F"/>
    <w:rsid w:val="37F79EEC"/>
    <w:rsid w:val="39E9012B"/>
    <w:rsid w:val="3A4C57F0"/>
    <w:rsid w:val="3B6F9AF2"/>
    <w:rsid w:val="3B7B0E62"/>
    <w:rsid w:val="3B7E199A"/>
    <w:rsid w:val="3BEB0D12"/>
    <w:rsid w:val="3BFD38F1"/>
    <w:rsid w:val="3C8F230E"/>
    <w:rsid w:val="3CD6A2CE"/>
    <w:rsid w:val="3CDA9E97"/>
    <w:rsid w:val="3DBE903C"/>
    <w:rsid w:val="3DED2006"/>
    <w:rsid w:val="3DF72CE2"/>
    <w:rsid w:val="3DF955E9"/>
    <w:rsid w:val="3DFBC46D"/>
    <w:rsid w:val="3DFFBBCE"/>
    <w:rsid w:val="3E8407A6"/>
    <w:rsid w:val="3EAA4D4D"/>
    <w:rsid w:val="3EAE3749"/>
    <w:rsid w:val="3EDA1BA6"/>
    <w:rsid w:val="3EEB21CF"/>
    <w:rsid w:val="3EF19C83"/>
    <w:rsid w:val="3F35F75C"/>
    <w:rsid w:val="3F7F5FCA"/>
    <w:rsid w:val="3FBE9505"/>
    <w:rsid w:val="3FCEF522"/>
    <w:rsid w:val="3FDF08E8"/>
    <w:rsid w:val="3FEA3AC2"/>
    <w:rsid w:val="3FEDAF8C"/>
    <w:rsid w:val="3FF3664A"/>
    <w:rsid w:val="3FFBB6F6"/>
    <w:rsid w:val="410177FB"/>
    <w:rsid w:val="43D31D67"/>
    <w:rsid w:val="44D228FB"/>
    <w:rsid w:val="46575CF0"/>
    <w:rsid w:val="46CF38AE"/>
    <w:rsid w:val="47137638"/>
    <w:rsid w:val="49106FC7"/>
    <w:rsid w:val="496F30EA"/>
    <w:rsid w:val="4A766463"/>
    <w:rsid w:val="4A9B2876"/>
    <w:rsid w:val="4BDB38F4"/>
    <w:rsid w:val="4D1951E8"/>
    <w:rsid w:val="4D7BB4E0"/>
    <w:rsid w:val="4EED4517"/>
    <w:rsid w:val="4FBAB9DD"/>
    <w:rsid w:val="4FBE76C6"/>
    <w:rsid w:val="526B22E8"/>
    <w:rsid w:val="52F29F94"/>
    <w:rsid w:val="53DDFA6C"/>
    <w:rsid w:val="547D5611"/>
    <w:rsid w:val="54ED1A7B"/>
    <w:rsid w:val="55845DEC"/>
    <w:rsid w:val="57522178"/>
    <w:rsid w:val="57CFB1E3"/>
    <w:rsid w:val="57DE9856"/>
    <w:rsid w:val="598FD60C"/>
    <w:rsid w:val="5B7575B9"/>
    <w:rsid w:val="5B786B64"/>
    <w:rsid w:val="5BF69E7C"/>
    <w:rsid w:val="5BFF29A2"/>
    <w:rsid w:val="5C5FB099"/>
    <w:rsid w:val="5CFF56E3"/>
    <w:rsid w:val="5D543967"/>
    <w:rsid w:val="5D7DB6B1"/>
    <w:rsid w:val="5E736292"/>
    <w:rsid w:val="5E8F2ABD"/>
    <w:rsid w:val="5EEF66FA"/>
    <w:rsid w:val="5EF703BF"/>
    <w:rsid w:val="5F7F2D26"/>
    <w:rsid w:val="5FBF4040"/>
    <w:rsid w:val="5FDEDB00"/>
    <w:rsid w:val="5FEB764D"/>
    <w:rsid w:val="5FFE7BB5"/>
    <w:rsid w:val="5FFFB32E"/>
    <w:rsid w:val="5FFFE934"/>
    <w:rsid w:val="61E36A96"/>
    <w:rsid w:val="62255BD2"/>
    <w:rsid w:val="62724D14"/>
    <w:rsid w:val="63DD42E6"/>
    <w:rsid w:val="656F24CB"/>
    <w:rsid w:val="67F37622"/>
    <w:rsid w:val="692F76BC"/>
    <w:rsid w:val="699E84FA"/>
    <w:rsid w:val="69EA00DD"/>
    <w:rsid w:val="6B2A4D77"/>
    <w:rsid w:val="6D5D1839"/>
    <w:rsid w:val="6D9C7688"/>
    <w:rsid w:val="6DD439A6"/>
    <w:rsid w:val="6DF7AC0D"/>
    <w:rsid w:val="6DFD6827"/>
    <w:rsid w:val="6E2D6DA5"/>
    <w:rsid w:val="6ED16B45"/>
    <w:rsid w:val="6ED7195F"/>
    <w:rsid w:val="6F6FBD0B"/>
    <w:rsid w:val="6F73E31B"/>
    <w:rsid w:val="6F8C8771"/>
    <w:rsid w:val="6F9F26FD"/>
    <w:rsid w:val="6FBF3259"/>
    <w:rsid w:val="6FF7AD7E"/>
    <w:rsid w:val="6FFBF23F"/>
    <w:rsid w:val="72FDE808"/>
    <w:rsid w:val="75302A0B"/>
    <w:rsid w:val="757E6BFF"/>
    <w:rsid w:val="75AFB30F"/>
    <w:rsid w:val="75DFD9C5"/>
    <w:rsid w:val="75FF8464"/>
    <w:rsid w:val="767F7637"/>
    <w:rsid w:val="76F67702"/>
    <w:rsid w:val="77161013"/>
    <w:rsid w:val="7739897D"/>
    <w:rsid w:val="776B5C01"/>
    <w:rsid w:val="77BB449D"/>
    <w:rsid w:val="77E78E5A"/>
    <w:rsid w:val="77F3AA60"/>
    <w:rsid w:val="77FC1C29"/>
    <w:rsid w:val="77FFC6B5"/>
    <w:rsid w:val="77FFD7AF"/>
    <w:rsid w:val="79827BCE"/>
    <w:rsid w:val="79C5A5F4"/>
    <w:rsid w:val="79FBE9B0"/>
    <w:rsid w:val="79FD2E83"/>
    <w:rsid w:val="79FF8BBE"/>
    <w:rsid w:val="7AFF2B16"/>
    <w:rsid w:val="7AFF32BA"/>
    <w:rsid w:val="7B2DEB60"/>
    <w:rsid w:val="7B5F7C4C"/>
    <w:rsid w:val="7B6EC348"/>
    <w:rsid w:val="7B77C910"/>
    <w:rsid w:val="7B7A783D"/>
    <w:rsid w:val="7B83BC2A"/>
    <w:rsid w:val="7BD73436"/>
    <w:rsid w:val="7BDF3358"/>
    <w:rsid w:val="7BE7A891"/>
    <w:rsid w:val="7BFFB64A"/>
    <w:rsid w:val="7D3990A3"/>
    <w:rsid w:val="7D3DC1AE"/>
    <w:rsid w:val="7D75DC00"/>
    <w:rsid w:val="7DEE5669"/>
    <w:rsid w:val="7DEE7764"/>
    <w:rsid w:val="7DFE4A1A"/>
    <w:rsid w:val="7DFEF018"/>
    <w:rsid w:val="7E3E5CCD"/>
    <w:rsid w:val="7E6F1634"/>
    <w:rsid w:val="7E77066A"/>
    <w:rsid w:val="7EA56516"/>
    <w:rsid w:val="7EAF9B55"/>
    <w:rsid w:val="7ED90A95"/>
    <w:rsid w:val="7F4F8C0A"/>
    <w:rsid w:val="7F7E46B5"/>
    <w:rsid w:val="7F7FF15F"/>
    <w:rsid w:val="7F9E0990"/>
    <w:rsid w:val="7FA6E8DF"/>
    <w:rsid w:val="7FAF8FE2"/>
    <w:rsid w:val="7FAFA3AD"/>
    <w:rsid w:val="7FB7F7D8"/>
    <w:rsid w:val="7FBB55DB"/>
    <w:rsid w:val="7FBE53B6"/>
    <w:rsid w:val="7FBF5E22"/>
    <w:rsid w:val="7FBF821D"/>
    <w:rsid w:val="7FCF4123"/>
    <w:rsid w:val="7FDF1134"/>
    <w:rsid w:val="7FE7DB51"/>
    <w:rsid w:val="7FEFFCF8"/>
    <w:rsid w:val="7FFBD451"/>
    <w:rsid w:val="7FFC1A3C"/>
    <w:rsid w:val="7FFD6E0F"/>
    <w:rsid w:val="7FFF3461"/>
    <w:rsid w:val="7FFF4509"/>
    <w:rsid w:val="7FFF75CA"/>
    <w:rsid w:val="7FFFA12E"/>
    <w:rsid w:val="7FFFD40D"/>
    <w:rsid w:val="7FFFF284"/>
    <w:rsid w:val="87EBBC8E"/>
    <w:rsid w:val="8F0F1C6B"/>
    <w:rsid w:val="8F7D7EB6"/>
    <w:rsid w:val="93242EEF"/>
    <w:rsid w:val="95FBF6D0"/>
    <w:rsid w:val="95FF2A06"/>
    <w:rsid w:val="9D8BF58F"/>
    <w:rsid w:val="9DFBEEB1"/>
    <w:rsid w:val="9E7BD2BA"/>
    <w:rsid w:val="9FCF7AAD"/>
    <w:rsid w:val="9FEEF32C"/>
    <w:rsid w:val="9FF7F29E"/>
    <w:rsid w:val="A54DD44F"/>
    <w:rsid w:val="A75EC6F7"/>
    <w:rsid w:val="A7F74BAD"/>
    <w:rsid w:val="AABE8B6F"/>
    <w:rsid w:val="AAD543E3"/>
    <w:rsid w:val="ABBA0188"/>
    <w:rsid w:val="ADF5F721"/>
    <w:rsid w:val="AEE75B65"/>
    <w:rsid w:val="AF775C1E"/>
    <w:rsid w:val="AFC92C1E"/>
    <w:rsid w:val="AFFF29B1"/>
    <w:rsid w:val="AFFF332E"/>
    <w:rsid w:val="B57F73D5"/>
    <w:rsid w:val="B5BB36F6"/>
    <w:rsid w:val="B5DE348B"/>
    <w:rsid w:val="B5FE8901"/>
    <w:rsid w:val="B64FFF9B"/>
    <w:rsid w:val="B6BF60FE"/>
    <w:rsid w:val="B6BFE617"/>
    <w:rsid w:val="B7AF8C37"/>
    <w:rsid w:val="B7AF9B45"/>
    <w:rsid w:val="B7D66E54"/>
    <w:rsid w:val="BA7B23C6"/>
    <w:rsid w:val="BBE48FB1"/>
    <w:rsid w:val="BDBFFC18"/>
    <w:rsid w:val="BEBC0C77"/>
    <w:rsid w:val="BEFFA2D6"/>
    <w:rsid w:val="BF8D6B7B"/>
    <w:rsid w:val="BFBBD046"/>
    <w:rsid w:val="BFD1A3BC"/>
    <w:rsid w:val="BFDE2A07"/>
    <w:rsid w:val="BFFA2965"/>
    <w:rsid w:val="C373EFBB"/>
    <w:rsid w:val="C7FD8BDB"/>
    <w:rsid w:val="CB9E2649"/>
    <w:rsid w:val="CD653C3C"/>
    <w:rsid w:val="CEB764ED"/>
    <w:rsid w:val="CEFF4F50"/>
    <w:rsid w:val="CFD3B343"/>
    <w:rsid w:val="CFDEBB2B"/>
    <w:rsid w:val="CFFD81C8"/>
    <w:rsid w:val="CFFF9239"/>
    <w:rsid w:val="D35F1F5E"/>
    <w:rsid w:val="D3772F6C"/>
    <w:rsid w:val="D3FF2540"/>
    <w:rsid w:val="D579EF92"/>
    <w:rsid w:val="D6EF34E9"/>
    <w:rsid w:val="D88DA3F8"/>
    <w:rsid w:val="DBB7A798"/>
    <w:rsid w:val="DCFDDC9F"/>
    <w:rsid w:val="DCFE8E0D"/>
    <w:rsid w:val="DDEFF2ED"/>
    <w:rsid w:val="DEFF3E63"/>
    <w:rsid w:val="DF3D6BA4"/>
    <w:rsid w:val="DF73E820"/>
    <w:rsid w:val="DFB9ABDD"/>
    <w:rsid w:val="DFC4ED87"/>
    <w:rsid w:val="DFFF7BCD"/>
    <w:rsid w:val="E5E7BB29"/>
    <w:rsid w:val="E5FE04F5"/>
    <w:rsid w:val="E5FED1D2"/>
    <w:rsid w:val="EB1DEC8C"/>
    <w:rsid w:val="EB773FD3"/>
    <w:rsid w:val="EBF796FC"/>
    <w:rsid w:val="ECD7517B"/>
    <w:rsid w:val="EDADE495"/>
    <w:rsid w:val="EDFF781E"/>
    <w:rsid w:val="EEB52E37"/>
    <w:rsid w:val="EEE7F131"/>
    <w:rsid w:val="EEFB33C7"/>
    <w:rsid w:val="EEFF446A"/>
    <w:rsid w:val="EFB74E99"/>
    <w:rsid w:val="EFB773EA"/>
    <w:rsid w:val="EFBFC4A6"/>
    <w:rsid w:val="EFEE2C2E"/>
    <w:rsid w:val="EFF75DDA"/>
    <w:rsid w:val="EFF95B2B"/>
    <w:rsid w:val="EFF996BE"/>
    <w:rsid w:val="EFFD8B4E"/>
    <w:rsid w:val="F1FFBF4D"/>
    <w:rsid w:val="F2BDD762"/>
    <w:rsid w:val="F2F7ACBD"/>
    <w:rsid w:val="F2FFD7B1"/>
    <w:rsid w:val="F37B0854"/>
    <w:rsid w:val="F3D7A5A4"/>
    <w:rsid w:val="F3DDB543"/>
    <w:rsid w:val="F4EF6271"/>
    <w:rsid w:val="F517810F"/>
    <w:rsid w:val="F5BDE577"/>
    <w:rsid w:val="F67A2CF5"/>
    <w:rsid w:val="F6B76154"/>
    <w:rsid w:val="F6EDEA64"/>
    <w:rsid w:val="F717D045"/>
    <w:rsid w:val="F76FFF40"/>
    <w:rsid w:val="F77F550E"/>
    <w:rsid w:val="F7E7566D"/>
    <w:rsid w:val="F7EF4C03"/>
    <w:rsid w:val="F7FF4124"/>
    <w:rsid w:val="F7FF546A"/>
    <w:rsid w:val="F9EF9911"/>
    <w:rsid w:val="F9F934B3"/>
    <w:rsid w:val="FAF9A7F0"/>
    <w:rsid w:val="FAFBF2B5"/>
    <w:rsid w:val="FB0BD269"/>
    <w:rsid w:val="FB379C50"/>
    <w:rsid w:val="FB96AF19"/>
    <w:rsid w:val="FBABA36B"/>
    <w:rsid w:val="FBAF7734"/>
    <w:rsid w:val="FBDD755C"/>
    <w:rsid w:val="FBDEF35C"/>
    <w:rsid w:val="FC36C143"/>
    <w:rsid w:val="FC7F77DB"/>
    <w:rsid w:val="FCC3ED5C"/>
    <w:rsid w:val="FCFC8243"/>
    <w:rsid w:val="FD3BD384"/>
    <w:rsid w:val="FD7B9206"/>
    <w:rsid w:val="FDBF207F"/>
    <w:rsid w:val="FDDB44D9"/>
    <w:rsid w:val="FDFD1C76"/>
    <w:rsid w:val="FE1FD554"/>
    <w:rsid w:val="FE734873"/>
    <w:rsid w:val="FE7F5251"/>
    <w:rsid w:val="FEB7DC87"/>
    <w:rsid w:val="FEBFD40E"/>
    <w:rsid w:val="FED70EFB"/>
    <w:rsid w:val="FEEF381F"/>
    <w:rsid w:val="FEFFB310"/>
    <w:rsid w:val="FF1EA693"/>
    <w:rsid w:val="FF65EE2C"/>
    <w:rsid w:val="FF6702E4"/>
    <w:rsid w:val="FF6E0719"/>
    <w:rsid w:val="FF7DBFBA"/>
    <w:rsid w:val="FFB8E8A5"/>
    <w:rsid w:val="FFB9D797"/>
    <w:rsid w:val="FFBC8EB9"/>
    <w:rsid w:val="FFBE4D8D"/>
    <w:rsid w:val="FFBF0AFA"/>
    <w:rsid w:val="FFC3AEB0"/>
    <w:rsid w:val="FFDEB80F"/>
    <w:rsid w:val="FFEB69BF"/>
    <w:rsid w:val="FFED4FF2"/>
    <w:rsid w:val="FFF7F690"/>
    <w:rsid w:val="FFFF42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WSJD</Company>
  <Pages>2</Pages>
  <Words>112</Words>
  <Characters>642</Characters>
  <Lines>0</Lines>
  <Paragraphs>0</Paragraphs>
  <TotalTime>22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2021-11-02T08:52:00Z</dcterms:created>
  <dc:creator>user</dc:creator>
  <cp:lastModifiedBy>刘唯杰:编号套红</cp:lastModifiedBy>
  <cp:lastPrinted>2021-11-04T06:10:00Z</cp:lastPrinted>
  <dcterms:modified xsi:type="dcterms:W3CDTF">2021-11-24T09:05:29Z</dcterms:modified>
  <dc:title>吴淞街道办事处集体决策实施办法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