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bookmarkStart w:id="2" w:name="_GoBack"/>
      <w:bookmarkEnd w:id="2"/>
    </w:p>
    <w:p>
      <w:pPr>
        <w:adjustRightInd w:val="0"/>
        <w:snapToGrid w:val="0"/>
        <w:spacing w:line="520" w:lineRule="exact"/>
        <w:jc w:val="center"/>
        <w:rPr>
          <w:rFonts w:hint="default" w:ascii="Times New Roman" w:hAnsi="Times New Roman" w:eastAsia="华文中宋" w:cs="Times New Roman"/>
          <w:b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z w:val="44"/>
          <w:szCs w:val="44"/>
        </w:rPr>
        <w:t>2022年宝山区各镇农业绿色生产相关任务清单及绩效目标表</w:t>
      </w:r>
    </w:p>
    <w:tbl>
      <w:tblPr>
        <w:tblStyle w:val="5"/>
        <w:tblW w:w="1448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90"/>
        <w:gridCol w:w="1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镇</w:t>
            </w: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内容</w:t>
            </w: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任务清单及绩效目标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Hlk107352402"/>
            <w:r>
              <w:rPr>
                <w:rFonts w:hint="eastAsia" w:ascii="仿宋_GB2312" w:hAnsi="仿宋_GB2312" w:eastAsia="仿宋_GB2312" w:cs="仿宋_GB2312"/>
                <w:sz w:val="24"/>
              </w:rPr>
              <w:t>罗店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耕地地力保护补贴</w:t>
            </w: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水稻种植面积和产量保持稳定，种植面积不低于1550亩，年产量不低于871吨；水稻信息上网率和直报率100%；水稻主导品种的覆盖率达到97%以上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落实规模化常年菜田面积不少于39</w:t>
            </w: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0亩；推进1200亩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（实种面积）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绿叶菜核心基地建设；蔬菜播种面积不少于12000亩次，产量不少于17000吨；食用菌3000吨；蔬菜信息上网面积不低于上年;设施菜田不能有抛荒现象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农机购置补贴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完成2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022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年农机购置任务，限时办理率9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%以上，农机补贴受益对象满意度9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%以上；主要粮食作物综合机械化水平9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%以上；蔬菜生产综合机械化率达到5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%以上生产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作业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面积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1765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亩次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绿色生产技术推广补贴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完成有机肥、测土配方肥、缓释肥等推广任务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推广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测土配方施肥技术面积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1.06万亩，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侧深施肥作业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00亩；推行农作物病虫害专业化统防统治和绿色防控技术，加强病虫害预测预报，大力推广高效低毒低残留环保型农药（渔药）以及生物农药，化肥农药减量技术应用覆盖面有增长，化肥农药使用负增长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开展水稻绿色高质高效创建，完成1家市级、2家区级，共计711亩的创建任务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完成农产品绿色生产基地创建面积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1500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亩；推广设施菜田土壤保育与改良技术220亩；推广“四诱一网”绿色防控技术，巩固500亩蔬菜绿色防控基地；推广水溶肥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覆盖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170亩；蔬菜生产废弃物综合利用率70%以上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实施上海市水产养殖绿色生产操作规程面积78亩；完成66亩水产养殖场尾水治理设施建设；完成1个水产健康养殖示范场创建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配合区级做好耕地地力监测和灌溉水质监测工作；加强耕地分类管理，完成受污染耕地安全利用面积713亩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农业资源保护和利用补贴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完成长吻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亲本保护和开发利用8</w:t>
            </w:r>
            <w:r>
              <w:rPr>
                <w:rFonts w:ascii="仿宋_GB2312" w:hAnsi="仿宋_GB2312" w:eastAsia="仿宋_GB2312" w:cs="仿宋_GB2312"/>
                <w:sz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农业废弃物资源化利用补贴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禁止秸秆焚烧,实施100%秸秆还田和秸秆离田综合利用率85%以上；农药等包装废弃物回收处置率100%；地膜、黄板回收处置率100%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农产品质量安全补贴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绿色认证率不低于</w:t>
            </w:r>
            <w:r>
              <w:rPr>
                <w:rFonts w:ascii="仿宋_GB2312" w:hAnsi="仿宋_GB2312" w:eastAsia="仿宋_GB2312" w:cs="仿宋_GB2312"/>
                <w:sz w:val="24"/>
              </w:rPr>
              <w:t>19.28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实现农药销售实名制全覆盖，向农业经营者宣贯告知率100%，农药经营者实施率100%，农药销售电子台帐信息准确率不低于90%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其他项目补贴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完成1个生态循环农业示范基地的创建任务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完成1个蔬菜机器换人示范基地创建任务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罗泾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耕地地力保护补贴</w:t>
            </w: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水稻种植面积和产量保持稳定，种植面积不低于</w:t>
            </w:r>
            <w:r>
              <w:rPr>
                <w:rFonts w:ascii="仿宋_GB2312" w:hAnsi="仿宋_GB2312" w:eastAsia="仿宋_GB2312" w:cs="仿宋_GB2312"/>
                <w:sz w:val="24"/>
              </w:rPr>
              <w:t>7700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亩，年产量不低于</w:t>
            </w:r>
            <w:r>
              <w:rPr>
                <w:rFonts w:ascii="仿宋_GB2312" w:hAnsi="仿宋_GB2312" w:eastAsia="仿宋_GB2312" w:cs="仿宋_GB2312"/>
                <w:sz w:val="24"/>
              </w:rPr>
              <w:t>4426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吨；水稻信息上网率和直报率100%；水稻主导品种的覆盖率达到97%以上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落实规模化常年菜田面积不少于</w:t>
            </w:r>
            <w:r>
              <w:rPr>
                <w:rFonts w:ascii="仿宋_GB2312" w:hAnsi="仿宋_GB2312" w:eastAsia="仿宋_GB2312" w:cs="仿宋_GB2312"/>
                <w:sz w:val="24"/>
              </w:rPr>
              <w:t>7900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亩；推进2</w:t>
            </w: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0亩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（实种面积）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绿叶菜核心基地建设；蔬菜播种面积不少于</w:t>
            </w:r>
            <w:r>
              <w:rPr>
                <w:rFonts w:ascii="仿宋_GB2312" w:hAnsi="仿宋_GB2312" w:eastAsia="仿宋_GB2312" w:cs="仿宋_GB2312"/>
                <w:sz w:val="24"/>
              </w:rPr>
              <w:t>2500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亩次，产量不少于</w:t>
            </w:r>
            <w:r>
              <w:rPr>
                <w:rFonts w:ascii="仿宋_GB2312" w:hAnsi="仿宋_GB2312" w:eastAsia="仿宋_GB2312" w:cs="仿宋_GB2312"/>
                <w:sz w:val="24"/>
              </w:rPr>
              <w:t>3700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吨；蔬菜信息上网面积不低于上年;设施菜田不能有抛荒现象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农机购置补贴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完成2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022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年农机购置任务，限时办理率9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%以上，农机补贴受益对象满意度9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%以上；主要粮食作物综合机械化水平9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%以上；蔬菜生产综合机械化率达到5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%以上生产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作业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面积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485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亩次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绿色生产技术推广补贴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完成有机肥、测土配方肥、缓释肥等推广任务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推广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测土配方施肥技术面积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1.2万亩，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侧深施肥作业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00亩；推行农作物病虫害专业化统防统治和绿色防控技术，加强病虫害预测预报，大力推广高效低毒低残留环保型农药（渔药）以及生物农药，化肥农药减量技术应用覆盖面有增长，化肥农药使用负增长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开展水稻绿色高质高效创建，完成</w:t>
            </w: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家市级、2家区级，共计</w:t>
            </w:r>
            <w:r>
              <w:rPr>
                <w:rFonts w:ascii="仿宋_GB2312" w:hAnsi="仿宋_GB2312" w:eastAsia="仿宋_GB2312" w:cs="仿宋_GB2312"/>
                <w:sz w:val="24"/>
              </w:rPr>
              <w:t>3559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亩的创建任务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完成农产品绿色生产基地创建面积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1800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亩；推广设施菜田土壤保育与改良技术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20亩；推广“四诱一网”绿色防控技术，巩固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00亩蔬菜绿色防控基地；推广水溶肥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覆盖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0亩；蔬菜生产废弃物综合利用率70%以上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实施上海市水产养殖绿色生产操作规程面积6</w:t>
            </w:r>
            <w:r>
              <w:rPr>
                <w:rFonts w:ascii="仿宋_GB2312" w:hAnsi="仿宋_GB2312" w:eastAsia="仿宋_GB2312" w:cs="仿宋_GB2312"/>
                <w:sz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配合区级做好耕地地力监测和灌溉水质监测工作；加强耕地分类管理，完成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66亩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受污染耕地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农业资源保护和利用补贴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完成小麦、水稻各1</w:t>
            </w:r>
            <w:r>
              <w:rPr>
                <w:rFonts w:ascii="仿宋_GB2312" w:hAnsi="仿宋_GB2312" w:eastAsia="仿宋_GB2312" w:cs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吨的种子储备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农业废弃物资源化利用补贴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禁止秸秆焚烧,实施100%秸秆还田和秸秆离田综合利用率85%以上；农药等包装废弃物回收处置率100%；地膜、黄板回收处置率100%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农产品质量安全补贴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绿色认证率不低于</w:t>
            </w:r>
            <w:r>
              <w:rPr>
                <w:rFonts w:ascii="仿宋_GB2312" w:hAnsi="仿宋_GB2312" w:eastAsia="仿宋_GB2312" w:cs="仿宋_GB2312"/>
                <w:sz w:val="24"/>
              </w:rPr>
              <w:t>50.17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实现农药销售实名制全覆盖，向农业经营者宣贯告知率100%，农药经营者实施率100%，农药销售电子台帐信息准确率不低于90%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其他项目补贴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完成1个生态循环农业示范基地的创建任务</w:t>
            </w:r>
          </w:p>
        </w:tc>
      </w:tr>
    </w:tbl>
    <w:p>
      <w:pPr>
        <w:adjustRightInd w:val="0"/>
        <w:snapToGrid w:val="0"/>
        <w:spacing w:line="0" w:lineRule="atLeast"/>
        <w:jc w:val="center"/>
        <w:rPr>
          <w:rFonts w:hint="eastAsia" w:ascii="仿宋_GB2312" w:hAnsi="仿宋_GB2312" w:eastAsia="仿宋_GB2312" w:cs="仿宋_GB2312"/>
          <w:sz w:val="24"/>
        </w:rPr>
      </w:pPr>
      <w:bookmarkStart w:id="1" w:name="_Hlk107353943"/>
      <w:r>
        <w:rPr>
          <w:rFonts w:hint="eastAsia" w:ascii="仿宋_GB2312" w:hAnsi="仿宋_GB2312" w:eastAsia="仿宋_GB2312" w:cs="仿宋_GB2312"/>
          <w:sz w:val="24"/>
        </w:rPr>
        <w:br w:type="page"/>
      </w:r>
    </w:p>
    <w:tbl>
      <w:tblPr>
        <w:tblStyle w:val="5"/>
        <w:tblW w:w="1448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90"/>
        <w:gridCol w:w="1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月浦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耕地地力保护补贴</w:t>
            </w: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水稻种植面积和产量保持稳定，种植面积不低于</w:t>
            </w:r>
            <w:r>
              <w:rPr>
                <w:rFonts w:ascii="仿宋_GB2312" w:hAnsi="仿宋_GB2312" w:eastAsia="仿宋_GB2312" w:cs="仿宋_GB2312"/>
                <w:sz w:val="24"/>
              </w:rPr>
              <w:t>1050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亩，年产量不低于</w:t>
            </w:r>
            <w:r>
              <w:rPr>
                <w:rFonts w:ascii="仿宋_GB2312" w:hAnsi="仿宋_GB2312" w:eastAsia="仿宋_GB2312" w:cs="仿宋_GB2312"/>
                <w:sz w:val="24"/>
              </w:rPr>
              <w:t>590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吨；水稻信息上网率和直报率100%；水稻主导品种的覆盖率达到97%以上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落实规模化常年菜田面积不少于</w:t>
            </w:r>
            <w:r>
              <w:rPr>
                <w:rFonts w:ascii="仿宋_GB2312" w:hAnsi="仿宋_GB2312" w:eastAsia="仿宋_GB2312" w:cs="仿宋_GB2312"/>
                <w:sz w:val="24"/>
              </w:rPr>
              <w:t>1300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亩；推进</w:t>
            </w:r>
            <w:r>
              <w:rPr>
                <w:rFonts w:ascii="仿宋_GB2312" w:hAnsi="仿宋_GB2312" w:eastAsia="仿宋_GB2312" w:cs="仿宋_GB2312"/>
                <w:sz w:val="24"/>
              </w:rPr>
              <w:t>400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亩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（实种面积）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绿叶菜核心基地建设；蔬菜播种面积不少于</w:t>
            </w:r>
            <w:r>
              <w:rPr>
                <w:rFonts w:ascii="仿宋_GB2312" w:hAnsi="仿宋_GB2312" w:eastAsia="仿宋_GB2312" w:cs="仿宋_GB2312"/>
                <w:sz w:val="24"/>
              </w:rPr>
              <w:t>4600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亩次，产量不少于</w:t>
            </w:r>
            <w:r>
              <w:rPr>
                <w:rFonts w:ascii="仿宋_GB2312" w:hAnsi="仿宋_GB2312" w:eastAsia="仿宋_GB2312" w:cs="仿宋_GB2312"/>
                <w:sz w:val="24"/>
              </w:rPr>
              <w:t>9600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吨；蔬菜信息上网面积不低于上年;设施菜田不能有抛荒现象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农机购置补贴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完成2</w:t>
            </w:r>
            <w:r>
              <w:rPr>
                <w:rFonts w:ascii="仿宋_GB2312" w:hAnsi="仿宋_GB2312" w:eastAsia="仿宋_GB2312" w:cs="仿宋_GB2312"/>
                <w:sz w:val="24"/>
              </w:rPr>
              <w:t>022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年农机购置任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务，限时办理率9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%以上，农机补贴受益对象满意度9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%以上；主要粮食作物综合机械化水平9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%以上；蔬菜生产综合机械化率达到5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%以上生产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作业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面积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750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亩次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绿色生产技术推广补贴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完成有机肥、测土配方肥、缓释肥等推广任务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，推广测土配方施肥技术面积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0.5万亩；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推行农作物病虫害专业化统防统治和绿色防控技术，加强病虫害预测预报，大力推广高效低毒低残留环保型农药（渔药）以及生物农药，化肥农药减量技术应用覆盖面有增长，化肥农药使用负增长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开展水稻绿色高质高效创建，完成1家市级2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52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亩的创建任务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完成农产品绿色生产基地创建面积</w:t>
            </w:r>
            <w:r>
              <w:rPr>
                <w:rFonts w:ascii="仿宋_GB2312" w:hAnsi="仿宋_GB2312" w:eastAsia="仿宋_GB2312" w:cs="仿宋_GB2312"/>
                <w:sz w:val="24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亩；推广设施菜田土壤保育与改良技术</w:t>
            </w:r>
            <w:r>
              <w:rPr>
                <w:rFonts w:ascii="仿宋_GB2312" w:hAnsi="仿宋_GB2312" w:eastAsia="仿宋_GB2312" w:cs="仿宋_GB2312"/>
                <w:sz w:val="24"/>
              </w:rPr>
              <w:t>80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亩；推广“四诱一网”绿色防控技术，巩固</w:t>
            </w:r>
            <w:r>
              <w:rPr>
                <w:rFonts w:ascii="仿宋_GB2312" w:hAnsi="仿宋_GB2312" w:eastAsia="仿宋_GB2312" w:cs="仿宋_GB2312"/>
                <w:sz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0亩蔬菜绿色防控基地；推广水溶肥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覆盖</w:t>
            </w:r>
            <w:r>
              <w:rPr>
                <w:rFonts w:ascii="仿宋_GB2312" w:hAnsi="仿宋_GB2312" w:eastAsia="仿宋_GB2312" w:cs="仿宋_GB2312"/>
                <w:sz w:val="24"/>
              </w:rPr>
              <w:t>80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亩；蔬菜生产废弃物综合利用率70%以上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配合区级做好耕地地力监测和灌溉水质监测工作；加强耕地分类管理，完成受污染耕地安全利用面积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816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农业废弃物资源化利用补贴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禁止秸秆焚烧,实施100%秸秆还田和秸秆离田综合利用率85%以上；农药等包装废弃物回收处置率100%；地膜、黄板回收处置率100%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农产品质量安全补贴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绿色认证率不低于</w:t>
            </w:r>
            <w:r>
              <w:rPr>
                <w:rFonts w:ascii="仿宋_GB2312" w:hAnsi="仿宋_GB2312" w:eastAsia="仿宋_GB2312" w:cs="仿宋_GB2312"/>
                <w:sz w:val="24"/>
              </w:rPr>
              <w:t>17.14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实现农药销售实名制全覆盖，向农业经营者宣贯告知率100%，农药经营者实施率100%，农药销售电子台帐信息准确率不低于90%</w:t>
            </w:r>
          </w:p>
        </w:tc>
      </w:tr>
      <w:bookmarkEnd w:id="1"/>
    </w:tbl>
    <w:p>
      <w:pPr>
        <w:adjustRightInd w:val="0"/>
        <w:snapToGrid w:val="0"/>
        <w:spacing w:line="0" w:lineRule="atLeast"/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br w:type="page"/>
      </w:r>
    </w:p>
    <w:tbl>
      <w:tblPr>
        <w:tblStyle w:val="5"/>
        <w:tblW w:w="1448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90"/>
        <w:gridCol w:w="1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杨行</w:t>
            </w: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耕地地力保护补贴</w:t>
            </w: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落实规模化常年菜田面积不少于</w:t>
            </w:r>
            <w:r>
              <w:rPr>
                <w:rFonts w:ascii="仿宋_GB2312" w:hAnsi="仿宋_GB2312" w:eastAsia="仿宋_GB2312" w:cs="仿宋_GB2312"/>
                <w:sz w:val="24"/>
              </w:rPr>
              <w:t>585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亩；推进</w:t>
            </w:r>
            <w:r>
              <w:rPr>
                <w:rFonts w:ascii="仿宋_GB2312" w:hAnsi="仿宋_GB2312" w:eastAsia="仿宋_GB2312" w:cs="仿宋_GB2312"/>
                <w:sz w:val="24"/>
              </w:rPr>
              <w:t>250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亩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（实种面积）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绿叶菜核心基地建设；蔬菜播种面积不少于2000亩次，产量不少于</w:t>
            </w:r>
            <w:r>
              <w:rPr>
                <w:rFonts w:ascii="仿宋_GB2312" w:hAnsi="仿宋_GB2312" w:eastAsia="仿宋_GB2312" w:cs="仿宋_GB2312"/>
                <w:sz w:val="24"/>
              </w:rPr>
              <w:t>2200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吨；蔬菜信息上网面积不低于上年;设施菜田不能有抛荒现象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农机购置补贴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完成2</w:t>
            </w:r>
            <w:r>
              <w:rPr>
                <w:rFonts w:ascii="仿宋_GB2312" w:hAnsi="仿宋_GB2312" w:eastAsia="仿宋_GB2312" w:cs="仿宋_GB2312"/>
                <w:sz w:val="24"/>
              </w:rPr>
              <w:t>022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年农机购置任务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，限时办理率9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%以上，农机补贴受益对象满意度9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%以上；主要粮食作物综合机械化水平9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绿色生产技术推广补贴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完成有机肥、测土配方肥、缓释肥等推广任务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，推广测土配方施肥技术面积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0.1万亩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；推行农作物病虫害专业化统防统治和绿色防控技术，加强病虫害预测预报，大力推广高效低毒低残留环保型农药（渔药）以及生物农药，化肥农药减量技术应用覆盖面有增长，化肥农药使用负增长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完成农产品绿色生产基地创建面积</w:t>
            </w:r>
            <w:r>
              <w:rPr>
                <w:rFonts w:ascii="仿宋_GB2312" w:hAnsi="仿宋_GB2312" w:eastAsia="仿宋_GB2312" w:cs="仿宋_GB2312"/>
                <w:sz w:val="24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亩；推广设施菜田土壤保育与改良技术</w:t>
            </w:r>
            <w:r>
              <w:rPr>
                <w:rFonts w:ascii="仿宋_GB2312" w:hAnsi="仿宋_GB2312" w:eastAsia="仿宋_GB2312" w:cs="仿宋_GB2312"/>
                <w:sz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0亩；推广“四诱一网”绿色防控技术，巩固200亩蔬菜绿色防控基地；推广水溶肥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覆盖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70亩；蔬菜生产废弃物综合利用率70%以上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配合区级做好耕地地力监测和灌溉水质监测工作；加强耕地分类管理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农业废弃物资源化利用补贴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农药等包装废弃物回收处置率100%；地膜、黄板回收处置率100%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农产品质量安全补贴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绿色认证率不低于</w:t>
            </w:r>
            <w:r>
              <w:rPr>
                <w:rFonts w:ascii="仿宋_GB2312" w:hAnsi="仿宋_GB2312" w:eastAsia="仿宋_GB2312" w:cs="仿宋_GB2312"/>
                <w:sz w:val="24"/>
              </w:rPr>
              <w:t>28.64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实现农药销售实名制全覆盖，向农业经营者宣贯告知率100%，农药经营者实施率100%，农药销售电子台帐信息准确率不低于90%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顾村</w:t>
            </w: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耕地地力保护补贴</w:t>
            </w: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水稻种植面积和产量保持稳定，种植面积不低于</w:t>
            </w:r>
            <w:r>
              <w:rPr>
                <w:rFonts w:ascii="仿宋_GB2312" w:hAnsi="仿宋_GB2312" w:eastAsia="仿宋_GB2312" w:cs="仿宋_GB2312"/>
                <w:sz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亩，年产量不低于</w:t>
            </w:r>
            <w:r>
              <w:rPr>
                <w:rFonts w:ascii="仿宋_GB2312" w:hAnsi="仿宋_GB2312" w:eastAsia="仿宋_GB2312" w:cs="仿宋_GB2312"/>
                <w:sz w:val="24"/>
              </w:rPr>
              <w:t>113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吨；水稻信息上网率和直报率100%；水稻主导品种的覆盖率达到97%以上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农机购置补贴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完成2</w:t>
            </w:r>
            <w:r>
              <w:rPr>
                <w:rFonts w:ascii="仿宋_GB2312" w:hAnsi="仿宋_GB2312" w:eastAsia="仿宋_GB2312" w:cs="仿宋_GB2312"/>
                <w:sz w:val="24"/>
              </w:rPr>
              <w:t>022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年农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机购置任务，限时办理率9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%以上，农机补贴受益对象满意度9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%以上；主要粮食作物综合机械化水平9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绿色生产技术推广补贴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完成有机肥、测土配方肥、缓释肥等推广任务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，推广测土配方施肥技术面积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0.1万亩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；推行农作物病虫害专业化统防统治和绿色防控技术，加强病虫害预测预报，大力推广高效低毒低残留环保型农药（渔药）以及生物农药，化肥农药减量技术应用覆盖面有增长，化肥农药使用负增长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开展水稻绿色高质高效创建，完成1家市级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204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亩的创建任务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配合区级做好耕地地力监测和灌溉水质监测工作；加强耕地分类管理，完成受污染耕地安全利用面积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农业废弃物资源化利用补贴</w:t>
            </w:r>
          </w:p>
        </w:tc>
        <w:tc>
          <w:tcPr>
            <w:tcW w:w="11623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禁止秸秆焚烧,实施100%秸秆还田和秸秆离田综合利用率85%以上；农药等包装废弃物回收处置率100%；地膜、黄板回收处置率100%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农产品质量安全补贴</w:t>
            </w:r>
          </w:p>
        </w:tc>
        <w:tc>
          <w:tcPr>
            <w:tcW w:w="1162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实现农药销售实名制全覆盖，向农业经营者宣贯告知率100%，农药经营者实施率100%，农药销售电子台帐信息准确率不低于90%</w:t>
            </w:r>
          </w:p>
        </w:tc>
      </w:tr>
    </w:tbl>
    <w:p/>
    <w:sectPr>
      <w:footerReference r:id="rId3" w:type="default"/>
      <w:pgSz w:w="16838" w:h="11906" w:orient="landscape"/>
      <w:pgMar w:top="1270" w:right="1440" w:bottom="1112" w:left="1440" w:header="851" w:footer="992" w:gutter="0"/>
      <w:pgNumType w:fmt="decimal" w:start="1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xMDUzMzFiMDEwMTQwNjI4NjQyZWJhY2UxYmM4YTUifQ=="/>
  </w:docVars>
  <w:rsids>
    <w:rsidRoot w:val="00DB495E"/>
    <w:rsid w:val="00011767"/>
    <w:rsid w:val="000B6917"/>
    <w:rsid w:val="000C45E7"/>
    <w:rsid w:val="00107234"/>
    <w:rsid w:val="0016216B"/>
    <w:rsid w:val="00196F8C"/>
    <w:rsid w:val="001B29A6"/>
    <w:rsid w:val="001D48C7"/>
    <w:rsid w:val="001E31FA"/>
    <w:rsid w:val="00204F8D"/>
    <w:rsid w:val="002B0629"/>
    <w:rsid w:val="002C4991"/>
    <w:rsid w:val="003026DD"/>
    <w:rsid w:val="003169F6"/>
    <w:rsid w:val="00341D43"/>
    <w:rsid w:val="0035014C"/>
    <w:rsid w:val="003553C6"/>
    <w:rsid w:val="00355480"/>
    <w:rsid w:val="003953FA"/>
    <w:rsid w:val="0042362E"/>
    <w:rsid w:val="004653D6"/>
    <w:rsid w:val="0049057F"/>
    <w:rsid w:val="00491477"/>
    <w:rsid w:val="004921CA"/>
    <w:rsid w:val="004B0D39"/>
    <w:rsid w:val="004C302D"/>
    <w:rsid w:val="004F78D1"/>
    <w:rsid w:val="005019E1"/>
    <w:rsid w:val="005221C2"/>
    <w:rsid w:val="005276E4"/>
    <w:rsid w:val="0056382A"/>
    <w:rsid w:val="0059607C"/>
    <w:rsid w:val="005E4867"/>
    <w:rsid w:val="00612FBD"/>
    <w:rsid w:val="006367BC"/>
    <w:rsid w:val="00681837"/>
    <w:rsid w:val="006874A3"/>
    <w:rsid w:val="006927CA"/>
    <w:rsid w:val="006D5E83"/>
    <w:rsid w:val="00736DEE"/>
    <w:rsid w:val="007470C8"/>
    <w:rsid w:val="00772D47"/>
    <w:rsid w:val="007743A5"/>
    <w:rsid w:val="00793F63"/>
    <w:rsid w:val="007C738C"/>
    <w:rsid w:val="007E31E8"/>
    <w:rsid w:val="008203BF"/>
    <w:rsid w:val="00821DAD"/>
    <w:rsid w:val="00835A1E"/>
    <w:rsid w:val="008717D3"/>
    <w:rsid w:val="008A08DB"/>
    <w:rsid w:val="008B42BC"/>
    <w:rsid w:val="008C7210"/>
    <w:rsid w:val="00940C7B"/>
    <w:rsid w:val="00944A7B"/>
    <w:rsid w:val="009465EA"/>
    <w:rsid w:val="00957FF7"/>
    <w:rsid w:val="009A1CC3"/>
    <w:rsid w:val="009C2A87"/>
    <w:rsid w:val="00A0733B"/>
    <w:rsid w:val="00A46517"/>
    <w:rsid w:val="00A7160E"/>
    <w:rsid w:val="00A7259C"/>
    <w:rsid w:val="00BD344A"/>
    <w:rsid w:val="00C15A78"/>
    <w:rsid w:val="00C24FD8"/>
    <w:rsid w:val="00C31E47"/>
    <w:rsid w:val="00C4388C"/>
    <w:rsid w:val="00C651CF"/>
    <w:rsid w:val="00C82C67"/>
    <w:rsid w:val="00CE6E5B"/>
    <w:rsid w:val="00D7018F"/>
    <w:rsid w:val="00DB495E"/>
    <w:rsid w:val="00DE2808"/>
    <w:rsid w:val="00E11684"/>
    <w:rsid w:val="00E40E50"/>
    <w:rsid w:val="00E505EC"/>
    <w:rsid w:val="00E64938"/>
    <w:rsid w:val="00EA0D4E"/>
    <w:rsid w:val="00EA3C71"/>
    <w:rsid w:val="00EE411E"/>
    <w:rsid w:val="00EF3F10"/>
    <w:rsid w:val="00F409F1"/>
    <w:rsid w:val="00F54064"/>
    <w:rsid w:val="00F57993"/>
    <w:rsid w:val="00F73ABE"/>
    <w:rsid w:val="00F86562"/>
    <w:rsid w:val="00FB4633"/>
    <w:rsid w:val="00FC13AA"/>
    <w:rsid w:val="00FC594C"/>
    <w:rsid w:val="02130427"/>
    <w:rsid w:val="05121E5F"/>
    <w:rsid w:val="0B9A2BAF"/>
    <w:rsid w:val="11F254F3"/>
    <w:rsid w:val="1201395E"/>
    <w:rsid w:val="144A7502"/>
    <w:rsid w:val="166B2B8B"/>
    <w:rsid w:val="167D5AEC"/>
    <w:rsid w:val="16D9CA0E"/>
    <w:rsid w:val="16EF49BD"/>
    <w:rsid w:val="173AD1B5"/>
    <w:rsid w:val="1B7F8B5E"/>
    <w:rsid w:val="1FEFD2C4"/>
    <w:rsid w:val="23CE4694"/>
    <w:rsid w:val="245F6D37"/>
    <w:rsid w:val="27370595"/>
    <w:rsid w:val="2D9A030D"/>
    <w:rsid w:val="2EBF1EF4"/>
    <w:rsid w:val="2EFDB07D"/>
    <w:rsid w:val="2F034074"/>
    <w:rsid w:val="2FFDA496"/>
    <w:rsid w:val="32EB3B6C"/>
    <w:rsid w:val="35BC17F0"/>
    <w:rsid w:val="373C4996"/>
    <w:rsid w:val="376C5228"/>
    <w:rsid w:val="377F3223"/>
    <w:rsid w:val="377FEEE2"/>
    <w:rsid w:val="379DD2D3"/>
    <w:rsid w:val="37A9B475"/>
    <w:rsid w:val="3B3F907A"/>
    <w:rsid w:val="3DFEA3B9"/>
    <w:rsid w:val="3F35204F"/>
    <w:rsid w:val="3F7B2CCD"/>
    <w:rsid w:val="3FB91686"/>
    <w:rsid w:val="3FBF209C"/>
    <w:rsid w:val="40FE1219"/>
    <w:rsid w:val="41D63C39"/>
    <w:rsid w:val="488A08CA"/>
    <w:rsid w:val="4D6704F3"/>
    <w:rsid w:val="4EFB52B7"/>
    <w:rsid w:val="51A7742A"/>
    <w:rsid w:val="534E7AD3"/>
    <w:rsid w:val="546E5828"/>
    <w:rsid w:val="57AF340C"/>
    <w:rsid w:val="5B36B394"/>
    <w:rsid w:val="5C7BB959"/>
    <w:rsid w:val="5D393860"/>
    <w:rsid w:val="5DA406F9"/>
    <w:rsid w:val="5EA52572"/>
    <w:rsid w:val="5FFEE216"/>
    <w:rsid w:val="63296DDB"/>
    <w:rsid w:val="67E33370"/>
    <w:rsid w:val="68D4386B"/>
    <w:rsid w:val="699904A8"/>
    <w:rsid w:val="6BC6275B"/>
    <w:rsid w:val="6BFF7500"/>
    <w:rsid w:val="6EF5EC96"/>
    <w:rsid w:val="6FDDD51B"/>
    <w:rsid w:val="6FF944CB"/>
    <w:rsid w:val="71F9D357"/>
    <w:rsid w:val="76110FEB"/>
    <w:rsid w:val="7BAF5642"/>
    <w:rsid w:val="7BFC41AB"/>
    <w:rsid w:val="7C6F82A4"/>
    <w:rsid w:val="7CFE720A"/>
    <w:rsid w:val="7D3BA322"/>
    <w:rsid w:val="7DD520C2"/>
    <w:rsid w:val="7E3F799C"/>
    <w:rsid w:val="7EE71F62"/>
    <w:rsid w:val="7F0F34CD"/>
    <w:rsid w:val="7F1374B2"/>
    <w:rsid w:val="7F5665CD"/>
    <w:rsid w:val="7F87FD2A"/>
    <w:rsid w:val="7FD72276"/>
    <w:rsid w:val="7FF71435"/>
    <w:rsid w:val="7FFE9703"/>
    <w:rsid w:val="7FFF833F"/>
    <w:rsid w:val="878F7015"/>
    <w:rsid w:val="A3FD9F8B"/>
    <w:rsid w:val="ABBE074A"/>
    <w:rsid w:val="ADFFF012"/>
    <w:rsid w:val="B1EF6E24"/>
    <w:rsid w:val="B5360752"/>
    <w:rsid w:val="B7F3EADF"/>
    <w:rsid w:val="BCDFA964"/>
    <w:rsid w:val="BEFB32AE"/>
    <w:rsid w:val="BFDC5427"/>
    <w:rsid w:val="BFFF89F8"/>
    <w:rsid w:val="BFFFC33F"/>
    <w:rsid w:val="CF3F20BF"/>
    <w:rsid w:val="DA8FF3A9"/>
    <w:rsid w:val="DB5F5AB8"/>
    <w:rsid w:val="DEC70BBF"/>
    <w:rsid w:val="DEDF01CF"/>
    <w:rsid w:val="E79F7EA8"/>
    <w:rsid w:val="E7DFFAD2"/>
    <w:rsid w:val="E7F56697"/>
    <w:rsid w:val="EBFFA263"/>
    <w:rsid w:val="EF3F60CF"/>
    <w:rsid w:val="EF7DD104"/>
    <w:rsid w:val="F3FA93BF"/>
    <w:rsid w:val="F59FCDEA"/>
    <w:rsid w:val="F5CBB150"/>
    <w:rsid w:val="F799B051"/>
    <w:rsid w:val="F7D3AE3C"/>
    <w:rsid w:val="FA7EED6A"/>
    <w:rsid w:val="FADB8555"/>
    <w:rsid w:val="FBD0FF5B"/>
    <w:rsid w:val="FCADDA26"/>
    <w:rsid w:val="FDD79577"/>
    <w:rsid w:val="FE4B8F3E"/>
    <w:rsid w:val="FEB7FD30"/>
    <w:rsid w:val="FEBF8DA9"/>
    <w:rsid w:val="FEFEF073"/>
    <w:rsid w:val="FF2E9709"/>
    <w:rsid w:val="FF6FCCDF"/>
    <w:rsid w:val="FFBBE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basedOn w:val="6"/>
    <w:link w:val="2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页眉 字符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1185</Words>
  <Characters>6756</Characters>
  <Lines>56</Lines>
  <Paragraphs>15</Paragraphs>
  <TotalTime>51</TotalTime>
  <ScaleCrop>false</ScaleCrop>
  <LinksUpToDate>false</LinksUpToDate>
  <CharactersWithSpaces>7926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2022-07-03T14:11:00Z</dcterms:created>
  <dc:creator>Administrator</dc:creator>
  <cp:lastModifiedBy>user</cp:lastModifiedBy>
  <cp:lastPrinted>2021-08-23T07:22:00Z</cp:lastPrinted>
  <dcterms:modified xsi:type="dcterms:W3CDTF">2022-07-13T14:14:26Z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83732798A1C7416B8F1858B29F36C084</vt:lpwstr>
  </property>
</Properties>
</file>