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2" w:name="_GoBack"/>
      <w:bookmarkEnd w:id="2"/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2022年宝山区各镇农业绿色生产相关任务清单及绩效目标表</w:t>
      </w:r>
    </w:p>
    <w:tbl>
      <w:tblPr>
        <w:tblStyle w:val="5"/>
        <w:tblW w:w="1448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90"/>
        <w:gridCol w:w="1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内容</w:t>
            </w: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任务清单及绩效目标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Hlk107352402"/>
            <w:r>
              <w:rPr>
                <w:rFonts w:hint="eastAsia" w:ascii="仿宋_GB2312" w:hAnsi="仿宋_GB2312" w:eastAsia="仿宋_GB2312" w:cs="仿宋_GB2312"/>
                <w:sz w:val="24"/>
              </w:rPr>
              <w:t>罗店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耕地地力保护补贴</w:t>
            </w: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水稻种植面积和产量保持稳定，种植面积不低于1550亩，年产量不低于871吨；水稻信息上网率和直报率100%；水稻主导品种的覆盖率达到97%以上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落实规模化常年菜田面积不少于39</w:t>
            </w: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0亩；推进1200亩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（实种面积）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绿叶菜核心基地建设；蔬菜播种面积不少于12000亩次，产量不少于17000吨；食用菌3000吨；蔬菜信息上网面积不低于上年;设施菜田不能有抛荒现象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农机购置补贴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完成2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022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年农机购置任务，限时办理率9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%以上，农机补贴受益对象满意度9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%以上；主要粮食作物综合机械化水平9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%以上；蔬菜生产综合机械化率达到5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%以上生产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作业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1765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绿色生产技术推广补贴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完成有机肥、测土配方肥、缓释肥等推广任务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推广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测土配方施肥技术面积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1.06万亩，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侧深施肥作业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00亩；推行农作物病虫害专业化统防统治和绿色防控技术，加强病虫害预测预报，大力推广高效低毒低残留环保型农药（渔药）以及生物农药，化肥农药减量技术应用覆盖面有增长，化肥农药使用负增长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开展水稻绿色高质高效创建，完成1家市级、2家区级，共计711亩的创建任务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完成农产品绿色生产基地创建面积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亩；推广设施菜田土壤保育与改良技术220亩；推广“四诱一网”绿色防控技术，巩固500亩蔬菜绿色防控基地；推广水溶肥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覆盖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170亩；蔬菜生产废弃物综合利用率70%以上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实施上海市水产养殖绿色生产操作规程面积78亩；完成66亩水产养殖场尾水治理设施建设；完成1个水产健康养殖示范场创建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配合区级做好耕地地力监测和灌溉水质监测工作；加强耕地分类管理，完成受污染耕地安全利用面积713亩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农业资源保护和利用补贴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完成长吻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亲本保护和开发利用8</w:t>
            </w:r>
            <w:r>
              <w:rPr>
                <w:rFonts w:ascii="仿宋_GB2312" w:hAnsi="仿宋_GB2312" w:eastAsia="仿宋_GB2312" w:cs="仿宋_GB2312"/>
                <w:sz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农业废弃物资源化利用补贴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禁止秸秆焚烧,实施100%秸秆还田和秸秆离田综合利用率85%以上；农药等包装废弃物回收处置率100%；地膜、黄板回收处置率100%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农产品质量安全补贴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绿色认证率不低于</w:t>
            </w:r>
            <w:r>
              <w:rPr>
                <w:rFonts w:ascii="仿宋_GB2312" w:hAnsi="仿宋_GB2312" w:eastAsia="仿宋_GB2312" w:cs="仿宋_GB2312"/>
                <w:sz w:val="24"/>
              </w:rPr>
              <w:t>19.28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实现农药销售实名制全覆盖，向农业经营者宣贯告知率100%，农药经营者实施率100%，农药销售电子台帐信息准确率不低于90%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其他项目补贴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完成1个生态循环农业示范基地的创建任务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完成1个蔬菜机器换人示范基地创建任务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罗泾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耕地地力保护补贴</w:t>
            </w: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水稻种植面积和产量保持稳定，种植面积不低于</w:t>
            </w:r>
            <w:r>
              <w:rPr>
                <w:rFonts w:ascii="仿宋_GB2312" w:hAnsi="仿宋_GB2312" w:eastAsia="仿宋_GB2312" w:cs="仿宋_GB2312"/>
                <w:sz w:val="24"/>
              </w:rPr>
              <w:t>7700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亩，年产量不低于</w:t>
            </w:r>
            <w:r>
              <w:rPr>
                <w:rFonts w:ascii="仿宋_GB2312" w:hAnsi="仿宋_GB2312" w:eastAsia="仿宋_GB2312" w:cs="仿宋_GB2312"/>
                <w:sz w:val="24"/>
              </w:rPr>
              <w:t>4426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吨；水稻信息上网率和直报率100%；水稻主导品种的覆盖率达到97%以上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落实规模化常年菜田面积不少于</w:t>
            </w:r>
            <w:r>
              <w:rPr>
                <w:rFonts w:ascii="仿宋_GB2312" w:hAnsi="仿宋_GB2312" w:eastAsia="仿宋_GB2312" w:cs="仿宋_GB2312"/>
                <w:sz w:val="24"/>
              </w:rPr>
              <w:t>7900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亩；推进2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（实种面积）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绿叶菜核心基地建设；蔬菜播种面积不少于</w:t>
            </w:r>
            <w:r>
              <w:rPr>
                <w:rFonts w:ascii="仿宋_GB2312" w:hAnsi="仿宋_GB2312" w:eastAsia="仿宋_GB2312" w:cs="仿宋_GB2312"/>
                <w:sz w:val="24"/>
              </w:rPr>
              <w:t>2500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亩次，产量不少于</w:t>
            </w:r>
            <w:r>
              <w:rPr>
                <w:rFonts w:ascii="仿宋_GB2312" w:hAnsi="仿宋_GB2312" w:eastAsia="仿宋_GB2312" w:cs="仿宋_GB2312"/>
                <w:sz w:val="24"/>
              </w:rPr>
              <w:t>3700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吨；蔬菜信息上网面积不低于上年;设施菜田不能有抛荒现象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农机购置补贴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完成2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022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年农机购置任务，限时办理率9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%以上，农机补贴受益对象满意度9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%以上；主要粮食作物综合机械化水平9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%以上；蔬菜生产综合机械化率达到5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%以上生产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作业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485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绿色生产技术推广补贴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完成有机肥、测土配方肥、缓释肥等推广任务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推广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测土配方施肥技术面积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1.2万亩，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侧深施肥作业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00亩；推行农作物病虫害专业化统防统治和绿色防控技术，加强病虫害预测预报，大力推广高效低毒低残留环保型农药（渔药）以及生物农药，化肥农药减量技术应用覆盖面有增长，化肥农药使用负增长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开展水稻绿色高质高效创建，完成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家市级、2家区级，共计</w:t>
            </w:r>
            <w:r>
              <w:rPr>
                <w:rFonts w:ascii="仿宋_GB2312" w:hAnsi="仿宋_GB2312" w:eastAsia="仿宋_GB2312" w:cs="仿宋_GB2312"/>
                <w:sz w:val="24"/>
              </w:rPr>
              <w:t>3559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亩的创建任务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完成农产品绿色生产基地创建面积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1800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亩；推广设施菜田土壤保育与改良技术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20亩；推广“四诱一网”绿色防控技术，巩固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00亩蔬菜绿色防控基地；推广水溶肥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覆盖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0亩；蔬菜生产废弃物综合利用率70%以上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实施上海市水产养殖绿色生产操作规程面积6</w:t>
            </w:r>
            <w:r>
              <w:rPr>
                <w:rFonts w:ascii="仿宋_GB2312" w:hAnsi="仿宋_GB2312" w:eastAsia="仿宋_GB2312" w:cs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配合区级做好耕地地力监测和灌溉水质监测工作；加强耕地分类管理，完成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66亩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受污染耕地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农业资源保护和利用补贴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完成小麦、水稻各1</w:t>
            </w: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吨的种子储备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农业废弃物资源化利用补贴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禁止秸秆焚烧,实施100%秸秆还田和秸秆离田综合利用率85%以上；农药等包装废弃物回收处置率100%；地膜、黄板回收处置率100%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农产品质量安全补贴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绿色认证率不低于</w:t>
            </w:r>
            <w:r>
              <w:rPr>
                <w:rFonts w:ascii="仿宋_GB2312" w:hAnsi="仿宋_GB2312" w:eastAsia="仿宋_GB2312" w:cs="仿宋_GB2312"/>
                <w:sz w:val="24"/>
              </w:rPr>
              <w:t>50.17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实现农药销售实名制全覆盖，向农业经营者宣贯告知率100%，农药经营者实施率100%，农药销售电子台帐信息准确率不低于90%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其他项目补贴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完成1个生态循环农业示范基地的创建任务</w:t>
            </w:r>
          </w:p>
        </w:tc>
      </w:tr>
    </w:tbl>
    <w:p>
      <w:pPr>
        <w:adjustRightInd w:val="0"/>
        <w:snapToGrid w:val="0"/>
        <w:spacing w:line="0" w:lineRule="atLeast"/>
        <w:jc w:val="center"/>
        <w:rPr>
          <w:rFonts w:hint="eastAsia" w:ascii="仿宋_GB2312" w:hAnsi="仿宋_GB2312" w:eastAsia="仿宋_GB2312" w:cs="仿宋_GB2312"/>
          <w:sz w:val="24"/>
        </w:rPr>
      </w:pPr>
      <w:bookmarkStart w:id="1" w:name="_Hlk107353943"/>
      <w:r>
        <w:rPr>
          <w:rFonts w:hint="eastAsia" w:ascii="仿宋_GB2312" w:hAnsi="仿宋_GB2312" w:eastAsia="仿宋_GB2312" w:cs="仿宋_GB2312"/>
          <w:sz w:val="24"/>
        </w:rPr>
        <w:br w:type="page"/>
      </w:r>
    </w:p>
    <w:tbl>
      <w:tblPr>
        <w:tblStyle w:val="5"/>
        <w:tblW w:w="1448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90"/>
        <w:gridCol w:w="1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月浦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耕地地力保护补贴</w:t>
            </w: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水稻种植面积和产量保持稳定，种植面积不低于</w:t>
            </w:r>
            <w:r>
              <w:rPr>
                <w:rFonts w:ascii="仿宋_GB2312" w:hAnsi="仿宋_GB2312" w:eastAsia="仿宋_GB2312" w:cs="仿宋_GB2312"/>
                <w:sz w:val="24"/>
              </w:rPr>
              <w:t>1050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亩，年产量不低于</w:t>
            </w:r>
            <w:r>
              <w:rPr>
                <w:rFonts w:ascii="仿宋_GB2312" w:hAnsi="仿宋_GB2312" w:eastAsia="仿宋_GB2312" w:cs="仿宋_GB2312"/>
                <w:sz w:val="24"/>
              </w:rPr>
              <w:t>590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吨；水稻信息上网率和直报率100%；水稻主导品种的覆盖率达到97%以上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落实规模化常年菜田面积不少于</w:t>
            </w:r>
            <w:r>
              <w:rPr>
                <w:rFonts w:ascii="仿宋_GB2312" w:hAnsi="仿宋_GB2312" w:eastAsia="仿宋_GB2312" w:cs="仿宋_GB2312"/>
                <w:sz w:val="24"/>
              </w:rPr>
              <w:t>1300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亩；推进</w:t>
            </w:r>
            <w:r>
              <w:rPr>
                <w:rFonts w:ascii="仿宋_GB2312" w:hAnsi="仿宋_GB2312" w:eastAsia="仿宋_GB2312" w:cs="仿宋_GB2312"/>
                <w:sz w:val="24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（实种面积）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绿叶菜核心基地建设；蔬菜播种面积不少于</w:t>
            </w:r>
            <w:r>
              <w:rPr>
                <w:rFonts w:ascii="仿宋_GB2312" w:hAnsi="仿宋_GB2312" w:eastAsia="仿宋_GB2312" w:cs="仿宋_GB2312"/>
                <w:sz w:val="24"/>
              </w:rPr>
              <w:t>4600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亩次，产量不少于</w:t>
            </w:r>
            <w:r>
              <w:rPr>
                <w:rFonts w:ascii="仿宋_GB2312" w:hAnsi="仿宋_GB2312" w:eastAsia="仿宋_GB2312" w:cs="仿宋_GB2312"/>
                <w:sz w:val="24"/>
              </w:rPr>
              <w:t>9600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吨；蔬菜信息上网面积不低于上年;设施菜田不能有抛荒现象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农机购置补贴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完成2</w:t>
            </w:r>
            <w:r>
              <w:rPr>
                <w:rFonts w:ascii="仿宋_GB2312" w:hAnsi="仿宋_GB2312" w:eastAsia="仿宋_GB2312" w:cs="仿宋_GB2312"/>
                <w:sz w:val="24"/>
              </w:rPr>
              <w:t>022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年农机购置任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务，限时办理率9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%以上，农机补贴受益对象满意度9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%以上；主要粮食作物综合机械化水平9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%以上；蔬菜生产综合机械化率达到5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%以上生产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作业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750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绿色生产技术推广补贴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完成有机肥、测土配方肥、缓释肥等推广任务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，推广测土配方施肥技术面积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0.5万亩；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推行农作物病虫害专业化统防统治和绿色防控技术，加强病虫害预测预报，大力推广高效低毒低残留环保型农药（渔药）以及生物农药，化肥农药减量技术应用覆盖面有增长，化肥农药使用负增长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开展水稻绿色高质高效创建，完成1家市级2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亩的创建任务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完成农产品绿色生产基地创建面积</w:t>
            </w:r>
            <w:r>
              <w:rPr>
                <w:rFonts w:ascii="仿宋_GB2312" w:hAnsi="仿宋_GB2312" w:eastAsia="仿宋_GB2312" w:cs="仿宋_GB2312"/>
                <w:sz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亩；推广设施菜田土壤保育与改良技术</w:t>
            </w:r>
            <w:r>
              <w:rPr>
                <w:rFonts w:ascii="仿宋_GB2312" w:hAnsi="仿宋_GB2312" w:eastAsia="仿宋_GB2312" w:cs="仿宋_GB2312"/>
                <w:sz w:val="24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亩；推广“四诱一网”绿色防控技术，巩固</w:t>
            </w:r>
            <w:r>
              <w:rPr>
                <w:rFonts w:ascii="仿宋_GB2312" w:hAnsi="仿宋_GB2312" w:eastAsia="仿宋_GB2312" w:cs="仿宋_GB2312"/>
                <w:sz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0亩蔬菜绿色防控基地；推广水溶肥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覆盖</w:t>
            </w:r>
            <w:r>
              <w:rPr>
                <w:rFonts w:ascii="仿宋_GB2312" w:hAnsi="仿宋_GB2312" w:eastAsia="仿宋_GB2312" w:cs="仿宋_GB2312"/>
                <w:sz w:val="24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亩；蔬菜生产废弃物综合利用率70%以上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配合区级做好耕地地力监测和灌溉水质监测工作；加强耕地分类管理，完成受污染耕地安全利用面积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816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农业废弃物资源化利用补贴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禁止秸秆焚烧,实施100%秸秆还田和秸秆离田综合利用率85%以上；农药等包装废弃物回收处置率100%；地膜、黄板回收处置率100%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农产品质量安全补贴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绿色认证率不低于</w:t>
            </w:r>
            <w:r>
              <w:rPr>
                <w:rFonts w:ascii="仿宋_GB2312" w:hAnsi="仿宋_GB2312" w:eastAsia="仿宋_GB2312" w:cs="仿宋_GB2312"/>
                <w:sz w:val="24"/>
              </w:rPr>
              <w:t>17.14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实现农药销售实名制全覆盖，向农业经营者宣贯告知率100%，农药经营者实施率100%，农药销售电子台帐信息准确率不低于90%</w:t>
            </w:r>
          </w:p>
        </w:tc>
      </w:tr>
      <w:bookmarkEnd w:id="1"/>
    </w:tbl>
    <w:p>
      <w:pPr>
        <w:adjustRightInd w:val="0"/>
        <w:snapToGrid w:val="0"/>
        <w:spacing w:line="0" w:lineRule="atLeas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tbl>
      <w:tblPr>
        <w:tblStyle w:val="5"/>
        <w:tblW w:w="1448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90"/>
        <w:gridCol w:w="1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杨行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耕地地力保护补贴</w:t>
            </w: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落实规模化常年菜田面积不少于</w:t>
            </w:r>
            <w:r>
              <w:rPr>
                <w:rFonts w:ascii="仿宋_GB2312" w:hAnsi="仿宋_GB2312" w:eastAsia="仿宋_GB2312" w:cs="仿宋_GB2312"/>
                <w:sz w:val="24"/>
              </w:rPr>
              <w:t>585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亩；推进</w:t>
            </w:r>
            <w:r>
              <w:rPr>
                <w:rFonts w:ascii="仿宋_GB2312" w:hAnsi="仿宋_GB2312" w:eastAsia="仿宋_GB2312" w:cs="仿宋_GB2312"/>
                <w:sz w:val="24"/>
              </w:rPr>
              <w:t>250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（实种面积）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绿叶菜核心基地建设；蔬菜播种面积不少于2000亩次，产量不少于</w:t>
            </w:r>
            <w:r>
              <w:rPr>
                <w:rFonts w:ascii="仿宋_GB2312" w:hAnsi="仿宋_GB2312" w:eastAsia="仿宋_GB2312" w:cs="仿宋_GB2312"/>
                <w:sz w:val="24"/>
              </w:rPr>
              <w:t>2200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吨；蔬菜信息上网面积不低于上年;设施菜田不能有抛荒现象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农机购置补贴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完成2</w:t>
            </w:r>
            <w:r>
              <w:rPr>
                <w:rFonts w:ascii="仿宋_GB2312" w:hAnsi="仿宋_GB2312" w:eastAsia="仿宋_GB2312" w:cs="仿宋_GB2312"/>
                <w:sz w:val="24"/>
              </w:rPr>
              <w:t>022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年农机购置任务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，限时办理率9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%以上，农机补贴受益对象满意度9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%以上；主要粮食作物综合机械化水平9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绿色生产技术推广补贴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完成有机肥、测土配方肥、缓释肥等推广任务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，推广测土配方施肥技术面积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0.1万亩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；推行农作物病虫害专业化统防统治和绿色防控技术，加强病虫害预测预报，大力推广高效低毒低残留环保型农药（渔药）以及生物农药，化肥农药减量技术应用覆盖面有增长，化肥农药使用负增长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完成农产品绿色生产基地创建面积</w:t>
            </w:r>
            <w:r>
              <w:rPr>
                <w:rFonts w:ascii="仿宋_GB2312" w:hAnsi="仿宋_GB2312" w:eastAsia="仿宋_GB2312" w:cs="仿宋_GB2312"/>
                <w:sz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亩；推广设施菜田土壤保育与改良技术</w:t>
            </w: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0亩；推广“四诱一网”绿色防控技术，巩固200亩蔬菜绿色防控基地；推广水溶肥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覆盖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70亩；蔬菜生产废弃物综合利用率70%以上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配合区级做好耕地地力监测和灌溉水质监测工作；加强耕地分类管理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农业废弃物资源化利用补贴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农药等包装废弃物回收处置率100%；地膜、黄板回收处置率100%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农产品质量安全补贴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绿色认证率不低于</w:t>
            </w:r>
            <w:r>
              <w:rPr>
                <w:rFonts w:ascii="仿宋_GB2312" w:hAnsi="仿宋_GB2312" w:eastAsia="仿宋_GB2312" w:cs="仿宋_GB2312"/>
                <w:sz w:val="24"/>
              </w:rPr>
              <w:t>28.64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实现农药销售实名制全覆盖，向农业经营者宣贯告知率100%，农药经营者实施率100%，农药销售电子台帐信息准确率不低于90%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顾村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耕地地力保护补贴</w:t>
            </w: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水稻种植面积和产量保持稳定，种植面积不低于</w:t>
            </w:r>
            <w:r>
              <w:rPr>
                <w:rFonts w:ascii="仿宋_GB2312" w:hAnsi="仿宋_GB2312" w:eastAsia="仿宋_GB2312" w:cs="仿宋_GB2312"/>
                <w:sz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亩，年产量不低于</w:t>
            </w:r>
            <w:r>
              <w:rPr>
                <w:rFonts w:ascii="仿宋_GB2312" w:hAnsi="仿宋_GB2312" w:eastAsia="仿宋_GB2312" w:cs="仿宋_GB2312"/>
                <w:sz w:val="24"/>
              </w:rPr>
              <w:t>113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吨；水稻信息上网率和直报率100%；水稻主导品种的覆盖率达到97%以上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农机购置补贴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完成2</w:t>
            </w:r>
            <w:r>
              <w:rPr>
                <w:rFonts w:ascii="仿宋_GB2312" w:hAnsi="仿宋_GB2312" w:eastAsia="仿宋_GB2312" w:cs="仿宋_GB2312"/>
                <w:sz w:val="24"/>
              </w:rPr>
              <w:t>022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年农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机购置任务，限时办理率9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%以上，农机补贴受益对象满意度9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%以上；主要粮食作物综合机械化水平9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绿色生产技术推广补贴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完成有机肥、测土配方肥、缓释肥等推广任务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，推广测土配方施肥技术面积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0.1万亩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；推行农作物病虫害专业化统防统治和绿色防控技术，加强病虫害预测预报，大力推广高效低毒低残留环保型农药（渔药）以及生物农药，化肥农药减量技术应用覆盖面有增长，化肥农药使用负增长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开展水稻绿色高质高效创建，完成1家市级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204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亩的创建任务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配合区级做好耕地地力监测和灌溉水质监测工作；加强耕地分类管理，完成受污染耕地安全利用面积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农业废弃物资源化利用补贴</w:t>
            </w:r>
          </w:p>
        </w:tc>
        <w:tc>
          <w:tcPr>
            <w:tcW w:w="11623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禁止秸秆焚烧,实施100%秸秆还田和秸秆离田综合利用率85%以上；农药等包装废弃物回收处置率100%；地膜、黄板回收处置率100%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农产品质量安全补贴</w:t>
            </w:r>
          </w:p>
        </w:tc>
        <w:tc>
          <w:tcPr>
            <w:tcW w:w="1162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实现农药销售实名制全覆盖，向农业经营者宣贯告知率100%，农药经营者实施率100%，农药销售电子台帐信息准确率不低于90%</w:t>
            </w:r>
          </w:p>
        </w:tc>
      </w:tr>
    </w:tbl>
    <w:p/>
    <w:sectPr>
      <w:footerReference r:id="rId3" w:type="default"/>
      <w:pgSz w:w="16838" w:h="11906" w:orient="landscape"/>
      <w:pgMar w:top="1270" w:right="1440" w:bottom="1112" w:left="1440" w:header="851" w:footer="992" w:gutter="0"/>
      <w:pgNumType w:fmt="decimal" w:start="1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MDUzMzFiMDEwMTQwNjI4NjQyZWJhY2UxYmM4YTUifQ=="/>
  </w:docVars>
  <w:rsids>
    <w:rsidRoot w:val="00DB495E"/>
    <w:rsid w:val="00011767"/>
    <w:rsid w:val="000B6917"/>
    <w:rsid w:val="000C45E7"/>
    <w:rsid w:val="00107234"/>
    <w:rsid w:val="0016216B"/>
    <w:rsid w:val="00196F8C"/>
    <w:rsid w:val="001B29A6"/>
    <w:rsid w:val="001D48C7"/>
    <w:rsid w:val="001E31FA"/>
    <w:rsid w:val="00204F8D"/>
    <w:rsid w:val="002B0629"/>
    <w:rsid w:val="002C4991"/>
    <w:rsid w:val="003026DD"/>
    <w:rsid w:val="003169F6"/>
    <w:rsid w:val="00341D43"/>
    <w:rsid w:val="0035014C"/>
    <w:rsid w:val="003553C6"/>
    <w:rsid w:val="00355480"/>
    <w:rsid w:val="003953FA"/>
    <w:rsid w:val="0042362E"/>
    <w:rsid w:val="004653D6"/>
    <w:rsid w:val="0049057F"/>
    <w:rsid w:val="00491477"/>
    <w:rsid w:val="004921CA"/>
    <w:rsid w:val="004B0D39"/>
    <w:rsid w:val="004C302D"/>
    <w:rsid w:val="004F78D1"/>
    <w:rsid w:val="005019E1"/>
    <w:rsid w:val="005221C2"/>
    <w:rsid w:val="005276E4"/>
    <w:rsid w:val="0056382A"/>
    <w:rsid w:val="0059607C"/>
    <w:rsid w:val="005E4867"/>
    <w:rsid w:val="00612FBD"/>
    <w:rsid w:val="006367BC"/>
    <w:rsid w:val="00681837"/>
    <w:rsid w:val="006874A3"/>
    <w:rsid w:val="006927CA"/>
    <w:rsid w:val="006D5E83"/>
    <w:rsid w:val="00736DEE"/>
    <w:rsid w:val="007470C8"/>
    <w:rsid w:val="00772D47"/>
    <w:rsid w:val="007743A5"/>
    <w:rsid w:val="00793F63"/>
    <w:rsid w:val="007C738C"/>
    <w:rsid w:val="007E31E8"/>
    <w:rsid w:val="008203BF"/>
    <w:rsid w:val="00821DAD"/>
    <w:rsid w:val="00835A1E"/>
    <w:rsid w:val="008717D3"/>
    <w:rsid w:val="008A08DB"/>
    <w:rsid w:val="008B42BC"/>
    <w:rsid w:val="008C7210"/>
    <w:rsid w:val="00940C7B"/>
    <w:rsid w:val="00944A7B"/>
    <w:rsid w:val="009465EA"/>
    <w:rsid w:val="00957FF7"/>
    <w:rsid w:val="009A1CC3"/>
    <w:rsid w:val="009C2A87"/>
    <w:rsid w:val="00A0733B"/>
    <w:rsid w:val="00A46517"/>
    <w:rsid w:val="00A7160E"/>
    <w:rsid w:val="00A7259C"/>
    <w:rsid w:val="00BD344A"/>
    <w:rsid w:val="00C15A78"/>
    <w:rsid w:val="00C24FD8"/>
    <w:rsid w:val="00C31E47"/>
    <w:rsid w:val="00C4388C"/>
    <w:rsid w:val="00C651CF"/>
    <w:rsid w:val="00C82C67"/>
    <w:rsid w:val="00CE6E5B"/>
    <w:rsid w:val="00D7018F"/>
    <w:rsid w:val="00DB495E"/>
    <w:rsid w:val="00DE2808"/>
    <w:rsid w:val="00E11684"/>
    <w:rsid w:val="00E40E50"/>
    <w:rsid w:val="00E505EC"/>
    <w:rsid w:val="00E64938"/>
    <w:rsid w:val="00EA0D4E"/>
    <w:rsid w:val="00EA3C71"/>
    <w:rsid w:val="00EE411E"/>
    <w:rsid w:val="00EF3F10"/>
    <w:rsid w:val="00F409F1"/>
    <w:rsid w:val="00F54064"/>
    <w:rsid w:val="00F57993"/>
    <w:rsid w:val="00F73ABE"/>
    <w:rsid w:val="00F86562"/>
    <w:rsid w:val="00FB4633"/>
    <w:rsid w:val="00FC13AA"/>
    <w:rsid w:val="00FC594C"/>
    <w:rsid w:val="02130427"/>
    <w:rsid w:val="05121E5F"/>
    <w:rsid w:val="0B9A2BAF"/>
    <w:rsid w:val="11F254F3"/>
    <w:rsid w:val="1201395E"/>
    <w:rsid w:val="144A7502"/>
    <w:rsid w:val="166B2B8B"/>
    <w:rsid w:val="167D5AEC"/>
    <w:rsid w:val="16D9CA0E"/>
    <w:rsid w:val="16EF49BD"/>
    <w:rsid w:val="173AD1B5"/>
    <w:rsid w:val="1B7F8B5E"/>
    <w:rsid w:val="1FEFD2C4"/>
    <w:rsid w:val="23CE4694"/>
    <w:rsid w:val="245F6D37"/>
    <w:rsid w:val="27370595"/>
    <w:rsid w:val="2D9A030D"/>
    <w:rsid w:val="2EBF1EF4"/>
    <w:rsid w:val="2EFDB07D"/>
    <w:rsid w:val="2F034074"/>
    <w:rsid w:val="2FFDA496"/>
    <w:rsid w:val="32EB3B6C"/>
    <w:rsid w:val="35BC17F0"/>
    <w:rsid w:val="373C4996"/>
    <w:rsid w:val="376C5228"/>
    <w:rsid w:val="377F3223"/>
    <w:rsid w:val="377FEEE2"/>
    <w:rsid w:val="379DD2D3"/>
    <w:rsid w:val="37A9B475"/>
    <w:rsid w:val="3B3F907A"/>
    <w:rsid w:val="3DFEA3B9"/>
    <w:rsid w:val="3F35204F"/>
    <w:rsid w:val="3F7B2CCD"/>
    <w:rsid w:val="3FB91686"/>
    <w:rsid w:val="3FBF209C"/>
    <w:rsid w:val="40FE1219"/>
    <w:rsid w:val="41D63C39"/>
    <w:rsid w:val="488A08CA"/>
    <w:rsid w:val="4D6704F3"/>
    <w:rsid w:val="4EFB52B7"/>
    <w:rsid w:val="51A7742A"/>
    <w:rsid w:val="534E7AD3"/>
    <w:rsid w:val="546E5828"/>
    <w:rsid w:val="57AF340C"/>
    <w:rsid w:val="5B36B394"/>
    <w:rsid w:val="5C7BB959"/>
    <w:rsid w:val="5D393860"/>
    <w:rsid w:val="5DA406F9"/>
    <w:rsid w:val="5EA52572"/>
    <w:rsid w:val="5FFEE216"/>
    <w:rsid w:val="63296DDB"/>
    <w:rsid w:val="67E33370"/>
    <w:rsid w:val="68D4386B"/>
    <w:rsid w:val="699904A8"/>
    <w:rsid w:val="6BC6275B"/>
    <w:rsid w:val="6BFF7500"/>
    <w:rsid w:val="6EF5EC96"/>
    <w:rsid w:val="6FDDD51B"/>
    <w:rsid w:val="6FF944CB"/>
    <w:rsid w:val="71F9D357"/>
    <w:rsid w:val="76110FEB"/>
    <w:rsid w:val="7BAF5642"/>
    <w:rsid w:val="7BFC41AB"/>
    <w:rsid w:val="7C6F82A4"/>
    <w:rsid w:val="7CFE720A"/>
    <w:rsid w:val="7D3BA322"/>
    <w:rsid w:val="7DD520C2"/>
    <w:rsid w:val="7E3F799C"/>
    <w:rsid w:val="7EE71F62"/>
    <w:rsid w:val="7F0F34CD"/>
    <w:rsid w:val="7F1374B2"/>
    <w:rsid w:val="7F5665CD"/>
    <w:rsid w:val="7F87FD2A"/>
    <w:rsid w:val="7FD72276"/>
    <w:rsid w:val="7FF71435"/>
    <w:rsid w:val="7FFE9703"/>
    <w:rsid w:val="7FFF833F"/>
    <w:rsid w:val="878F7015"/>
    <w:rsid w:val="A3FD9F8B"/>
    <w:rsid w:val="ABBE074A"/>
    <w:rsid w:val="ADFFF012"/>
    <w:rsid w:val="B1EF6E24"/>
    <w:rsid w:val="B5360752"/>
    <w:rsid w:val="B7F3EADF"/>
    <w:rsid w:val="BCDFA964"/>
    <w:rsid w:val="BEFB32AE"/>
    <w:rsid w:val="BFDC5427"/>
    <w:rsid w:val="BFFF89F8"/>
    <w:rsid w:val="BFFFC33F"/>
    <w:rsid w:val="CF3F20BF"/>
    <w:rsid w:val="DA8FF3A9"/>
    <w:rsid w:val="DB5F5AB8"/>
    <w:rsid w:val="DEC70BBF"/>
    <w:rsid w:val="DEDF01CF"/>
    <w:rsid w:val="E79F7EA8"/>
    <w:rsid w:val="E7DFFAD2"/>
    <w:rsid w:val="E7F56697"/>
    <w:rsid w:val="EBFFA263"/>
    <w:rsid w:val="EF3F60CF"/>
    <w:rsid w:val="EF7DD104"/>
    <w:rsid w:val="F3FA93BF"/>
    <w:rsid w:val="F59FCDEA"/>
    <w:rsid w:val="F5CBB150"/>
    <w:rsid w:val="F799B051"/>
    <w:rsid w:val="F7D3AE3C"/>
    <w:rsid w:val="FA7EED6A"/>
    <w:rsid w:val="FADB8555"/>
    <w:rsid w:val="FBD0FF5B"/>
    <w:rsid w:val="FCADDA26"/>
    <w:rsid w:val="FDD79577"/>
    <w:rsid w:val="FE4B8F3E"/>
    <w:rsid w:val="FEB7FD30"/>
    <w:rsid w:val="FEBF8DA9"/>
    <w:rsid w:val="FEFEF073"/>
    <w:rsid w:val="FF2E9709"/>
    <w:rsid w:val="FF6FCCDF"/>
    <w:rsid w:val="FFBBE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1185</Words>
  <Characters>6756</Characters>
  <Lines>56</Lines>
  <Paragraphs>15</Paragraphs>
  <TotalTime>51</TotalTime>
  <ScaleCrop>false</ScaleCrop>
  <LinksUpToDate>false</LinksUpToDate>
  <CharactersWithSpaces>7926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2022-07-03T14:11:00Z</dcterms:created>
  <dc:creator>Administrator</dc:creator>
  <cp:lastModifiedBy>user</cp:lastModifiedBy>
  <cp:lastPrinted>2021-08-23T07:22:00Z</cp:lastPrinted>
  <dcterms:modified xsi:type="dcterms:W3CDTF">2022-07-13T14:14:26Z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83732798A1C7416B8F1858B29F36C084</vt:lpwstr>
  </property>
</Properties>
</file>