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关于深入打好污染防治攻坚战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全面</w:t>
      </w:r>
      <w:r>
        <w:rPr>
          <w:rFonts w:ascii="Times New Roman" w:hAnsi="Times New Roman" w:eastAsia="方正小标宋_GBK"/>
          <w:bCs/>
          <w:sz w:val="44"/>
          <w:szCs w:val="44"/>
        </w:rPr>
        <w:t>建设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生态</w:t>
      </w:r>
      <w:r>
        <w:rPr>
          <w:rFonts w:ascii="Times New Roman" w:hAnsi="Times New Roman" w:eastAsia="方正小标宋_GBK"/>
          <w:bCs/>
          <w:sz w:val="44"/>
          <w:szCs w:val="44"/>
        </w:rPr>
        <w:t>宝山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科创</w:t>
      </w:r>
      <w:r>
        <w:rPr>
          <w:rFonts w:ascii="Times New Roman" w:hAnsi="Times New Roman" w:eastAsia="方正小标宋_GBK"/>
          <w:bCs/>
          <w:sz w:val="44"/>
          <w:szCs w:val="44"/>
        </w:rPr>
        <w:t>之城的实施方案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（征求意见稿）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center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为贯彻落实深入打好污染防治攻坚战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总体要求</w:t>
      </w:r>
      <w:r>
        <w:rPr>
          <w:rFonts w:ascii="Times New Roman" w:hAnsi="Times New Roman" w:eastAsia="仿宋_GB2312"/>
          <w:sz w:val="32"/>
          <w:szCs w:val="32"/>
        </w:rPr>
        <w:t>，全面建设人民满意的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科创之城、开放之城、</w:t>
      </w:r>
      <w:r>
        <w:rPr>
          <w:rFonts w:ascii="Times New Roman" w:hAnsi="Times New Roman" w:eastAsia="仿宋_GB2312"/>
          <w:sz w:val="32"/>
          <w:szCs w:val="32"/>
        </w:rPr>
        <w:t>生态之城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、幸福之城</w:t>
      </w:r>
      <w:r>
        <w:rPr>
          <w:rFonts w:ascii="Times New Roman" w:hAnsi="Times New Roman" w:eastAsia="仿宋_GB2312"/>
          <w:sz w:val="32"/>
          <w:szCs w:val="32"/>
        </w:rPr>
        <w:t>，推动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生态品质和环境质量再上新台阶</w:t>
      </w:r>
      <w:r>
        <w:rPr>
          <w:rFonts w:ascii="Times New Roman" w:hAnsi="Times New Roman" w:eastAsia="仿宋_GB2312"/>
          <w:sz w:val="32"/>
          <w:szCs w:val="32"/>
        </w:rPr>
        <w:t>，现制定实施方案如下：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一、总体要求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（一）指导思想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以习近平新时代中国特色社会主义思想为指导，全面贯彻党的二十大精神，积极践行习近平生态文明思想，保持战略定力，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坚持</w:t>
      </w:r>
      <w:r>
        <w:rPr>
          <w:rFonts w:ascii="Times New Roman" w:hAnsi="Times New Roman" w:eastAsia="仿宋_GB2312"/>
          <w:sz w:val="32"/>
          <w:szCs w:val="32"/>
        </w:rPr>
        <w:t>方向不变、力度不减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，坚持系统化治理，通过减污降碳协同增效推动源头治理和转型发展，</w:t>
      </w:r>
      <w:r>
        <w:rPr>
          <w:rFonts w:ascii="Times New Roman" w:hAnsi="Times New Roman" w:eastAsia="仿宋_GB2312"/>
          <w:sz w:val="32"/>
          <w:szCs w:val="32"/>
        </w:rPr>
        <w:t>以更高标准打好蓝天、碧水、净土保卫战。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紧紧围绕</w:t>
      </w:r>
      <w:r>
        <w:rPr>
          <w:rFonts w:ascii="Times New Roman" w:hAnsi="Times New Roman" w:eastAsia="仿宋_GB2312"/>
          <w:sz w:val="32"/>
          <w:szCs w:val="32"/>
        </w:rPr>
        <w:t>宝山建设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全市</w:t>
      </w:r>
      <w:r>
        <w:rPr>
          <w:rFonts w:ascii="Times New Roman" w:hAnsi="Times New Roman" w:eastAsia="仿宋_GB2312"/>
          <w:sz w:val="32"/>
          <w:szCs w:val="32"/>
        </w:rPr>
        <w:t>科创中心主阵地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总目标，</w:t>
      </w:r>
      <w:r>
        <w:rPr>
          <w:rFonts w:ascii="Times New Roman" w:hAnsi="Times New Roman" w:eastAsia="仿宋_GB2312"/>
          <w:sz w:val="32"/>
          <w:szCs w:val="32"/>
        </w:rPr>
        <w:t>加快构建现代环境治理体系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，提升现代环境治理能力，将打造良好的生态环境品质作为“北转型”重要篇章，建好现代化、创新型、生态化国际大都市主城区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（二）工作目标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到2025年，生态环境持续稳定改善，主要污染物排放总量达到国家和市下达指标，细颗粒物（PM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）浓度控制在30微克/立方米以下，空气质量优良率达到89%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左右</w:t>
      </w:r>
      <w:r>
        <w:rPr>
          <w:rFonts w:ascii="Times New Roman" w:hAnsi="Times New Roman" w:eastAsia="仿宋_GB2312"/>
          <w:sz w:val="32"/>
          <w:szCs w:val="32"/>
        </w:rPr>
        <w:t>，地表水Ⅰ－Ⅲ类水体比例达到60%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以上</w:t>
      </w:r>
      <w:r>
        <w:rPr>
          <w:rFonts w:ascii="Times New Roman" w:hAnsi="Times New Roman" w:eastAsia="仿宋_GB2312"/>
          <w:sz w:val="32"/>
          <w:szCs w:val="32"/>
        </w:rPr>
        <w:t>，重要水功能区基本达标。土壤污染风险得到有效管控。固体废物和新污染物治理能力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</w:t>
      </w:r>
      <w:r>
        <w:rPr>
          <w:rFonts w:ascii="Times New Roman" w:hAnsi="Times New Roman" w:eastAsia="仿宋_GB2312"/>
          <w:sz w:val="32"/>
          <w:szCs w:val="32"/>
        </w:rPr>
        <w:t>增强，生态系统质量和稳定性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有效</w:t>
      </w:r>
      <w:r>
        <w:rPr>
          <w:rFonts w:ascii="Times New Roman" w:hAnsi="Times New Roman" w:eastAsia="仿宋_GB2312"/>
          <w:sz w:val="32"/>
          <w:szCs w:val="32"/>
        </w:rPr>
        <w:t>提升，生态环境治理体系更加完善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，为</w:t>
      </w:r>
      <w:r>
        <w:rPr>
          <w:rFonts w:ascii="Times New Roman" w:hAnsi="Times New Roman" w:eastAsia="仿宋_GB2312"/>
          <w:sz w:val="32"/>
          <w:szCs w:val="32"/>
        </w:rPr>
        <w:t>建设美丽宝山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提供坚强保障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bookmarkStart w:id="0" w:name="_Toc63381754"/>
      <w:bookmarkStart w:id="1" w:name="_Hlk62142094"/>
      <w:bookmarkStart w:id="2" w:name="_Toc60006249"/>
      <w:r>
        <w:rPr>
          <w:rFonts w:ascii="Times New Roman" w:hAnsi="Times New Roman" w:eastAsia="黑体"/>
          <w:kern w:val="0"/>
          <w:sz w:val="32"/>
          <w:szCs w:val="32"/>
        </w:rPr>
        <w:t>二、</w:t>
      </w:r>
      <w:bookmarkStart w:id="3" w:name="_Hlk95752256"/>
      <w:r>
        <w:rPr>
          <w:rFonts w:ascii="Times New Roman" w:hAnsi="Times New Roman" w:eastAsia="黑体"/>
          <w:kern w:val="0"/>
          <w:sz w:val="32"/>
          <w:szCs w:val="32"/>
        </w:rPr>
        <w:t>全面推进绿色高质量发展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（一）开展碳达峰行动。</w:t>
      </w:r>
      <w:r>
        <w:rPr>
          <w:rFonts w:ascii="Times New Roman" w:hAnsi="Times New Roman" w:eastAsia="仿宋_GB2312"/>
          <w:sz w:val="32"/>
          <w:szCs w:val="22"/>
        </w:rPr>
        <w:t>编制碳达峰工作方案，加强顶层设计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22"/>
        </w:rPr>
        <w:t>聚焦重点区域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22"/>
        </w:rPr>
        <w:t>重点行业，组织实施碳达峰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22"/>
        </w:rPr>
        <w:t>十大行动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22"/>
        </w:rPr>
        <w:t>，确保2030年前实现碳达峰。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建好碳中和产业园，用好专项资金，撬动清洁能源、工业生产、城乡建设、交通运输等领域全面减排。打好“央企牌”，推动重点板块发挥示范引领作用，打好“大学牌”，推动绿色转型实现科技引领和人才支撑。组织编制温室气体排放清单</w:t>
      </w:r>
      <w:r>
        <w:rPr>
          <w:rFonts w:ascii="Times New Roman" w:hAnsi="Times New Roman" w:eastAsia="仿宋_GB2312"/>
          <w:sz w:val="32"/>
          <w:szCs w:val="32"/>
        </w:rPr>
        <w:t>，进一步实现减污降碳协同增效。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2"/>
          <w:lang w:eastAsia="zh-CN"/>
        </w:rPr>
      </w:pPr>
      <w:bookmarkStart w:id="4" w:name="_Toc60006254"/>
      <w:bookmarkStart w:id="5" w:name="_Toc63381759"/>
      <w:r>
        <w:rPr>
          <w:rFonts w:ascii="Times New Roman" w:hAnsi="Times New Roman" w:eastAsia="楷体_GB2312"/>
          <w:sz w:val="32"/>
          <w:szCs w:val="22"/>
        </w:rPr>
        <w:t>（二）</w:t>
      </w:r>
      <w:bookmarkEnd w:id="4"/>
      <w:bookmarkEnd w:id="5"/>
      <w:r>
        <w:rPr>
          <w:rFonts w:ascii="Times New Roman" w:hAnsi="Times New Roman" w:eastAsia="楷体_GB2312"/>
          <w:sz w:val="32"/>
          <w:szCs w:val="22"/>
        </w:rPr>
        <w:t>打造绿色低碳样板区。</w:t>
      </w:r>
      <w:bookmarkStart w:id="6" w:name="_Hlk95728956"/>
      <w:r>
        <w:rPr>
          <w:rFonts w:ascii="Times New Roman" w:hAnsi="Times New Roman" w:eastAsia="仿宋_GB2312"/>
          <w:sz w:val="32"/>
          <w:szCs w:val="22"/>
        </w:rPr>
        <w:t>围绕上海科创中心主阵地战略定位，将宝山打造成全市绿色低碳转型的样板区。发挥吴淞、南大的区位和空间优势，建设宝武碳中和技术创新示范区</w:t>
      </w:r>
      <w:bookmarkEnd w:id="6"/>
      <w:r>
        <w:rPr>
          <w:rFonts w:ascii="Times New Roman" w:hAnsi="Times New Roman" w:eastAsia="仿宋_GB2312"/>
          <w:sz w:val="32"/>
          <w:szCs w:val="22"/>
        </w:rPr>
        <w:t>，打造吴淞创新城老工业基地生态转型示范区，推动南大智慧城数字化建设与绿色低碳融合发展。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高标准建设海绵城市、中央公园等生态地标，发挥南大智慧城上海绿色三星生态城区示范作用，实现人与自然、产业与生态和谐共生。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（三）加大能源结构调整力度。</w:t>
      </w:r>
      <w:r>
        <w:rPr>
          <w:rFonts w:ascii="Times New Roman" w:hAnsi="Times New Roman" w:eastAsia="仿宋_GB2312"/>
          <w:sz w:val="32"/>
          <w:szCs w:val="32"/>
        </w:rPr>
        <w:t>合理控制煤炭消费总量，推动华能集团石洞口一厂4台煤电机组升级改造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逐步削减宝武集团煤炭消费总量，宝武集团1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#</w:t>
      </w:r>
      <w:r>
        <w:rPr>
          <w:rFonts w:ascii="Times New Roman" w:hAnsi="Times New Roman" w:eastAsia="仿宋_GB2312"/>
          <w:sz w:val="32"/>
          <w:szCs w:val="32"/>
        </w:rPr>
        <w:t>燃煤机组转为应急备用、投产建设燃气发电机组。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同步</w:t>
      </w:r>
      <w:r>
        <w:rPr>
          <w:rFonts w:ascii="Times New Roman" w:hAnsi="Times New Roman" w:eastAsia="仿宋_GB2312"/>
          <w:color w:val="000000"/>
          <w:sz w:val="32"/>
          <w:szCs w:val="32"/>
        </w:rPr>
        <w:t>发挥宝武集团钢铁冶金制氢能力，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加快推动氢能利用和示范。</w:t>
      </w:r>
      <w:r>
        <w:rPr>
          <w:rFonts w:ascii="Times New Roman" w:hAnsi="Times New Roman" w:eastAsia="仿宋_GB2312"/>
          <w:sz w:val="32"/>
          <w:szCs w:val="22"/>
        </w:rPr>
        <w:t>逐步提高余能梯级利用能力，推进宝钢低温余热供应社区的示范项目。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大力推进分布式光伏建设，</w:t>
      </w:r>
      <w:r>
        <w:rPr>
          <w:rFonts w:ascii="Times New Roman" w:hAnsi="Times New Roman" w:eastAsia="仿宋_GB2312"/>
          <w:color w:val="000000"/>
          <w:sz w:val="32"/>
          <w:szCs w:val="32"/>
        </w:rPr>
        <w:t>推动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行政机关等</w:t>
      </w:r>
      <w:r>
        <w:rPr>
          <w:rFonts w:ascii="Times New Roman" w:hAnsi="Times New Roman" w:eastAsia="仿宋_GB2312"/>
          <w:color w:val="000000"/>
          <w:sz w:val="32"/>
          <w:szCs w:val="32"/>
        </w:rPr>
        <w:t>既有建筑安装光伏。到2025年，公共机构、工业厂房建筑屋顶光伏覆盖率达到50%以上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全区力争新增光伏装机容量24万千瓦。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（四）</w:t>
      </w:r>
      <w:bookmarkStart w:id="7" w:name="_Hlk95745961"/>
      <w:r>
        <w:rPr>
          <w:rFonts w:ascii="Times New Roman" w:hAnsi="Times New Roman" w:eastAsia="楷体_GB2312"/>
          <w:sz w:val="32"/>
          <w:szCs w:val="22"/>
        </w:rPr>
        <w:t>推进产业转型升级</w:t>
      </w:r>
      <w:bookmarkEnd w:id="7"/>
      <w:r>
        <w:rPr>
          <w:rFonts w:ascii="Times New Roman" w:hAnsi="Times New Roman" w:eastAsia="楷体_GB2312"/>
          <w:sz w:val="32"/>
          <w:szCs w:val="22"/>
        </w:rPr>
        <w:t>。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深入推进产业绿色低碳转型，</w:t>
      </w:r>
      <w:r>
        <w:rPr>
          <w:rFonts w:ascii="Times New Roman" w:hAnsi="Times New Roman" w:eastAsia="仿宋_GB2312"/>
          <w:color w:val="000000"/>
          <w:sz w:val="32"/>
          <w:szCs w:val="32"/>
        </w:rPr>
        <w:t>培育生物医药、智能装备、新一代信息技术三大新支柱产业，加强战略性新兴产业与绿色低碳产业的深度融合。对照碳达峰、碳中和要求，组织开展重点制造业行业节能低碳评估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，开展工业节能降碳“百一”行动，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加快推动传统产业绿色升级改造。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（五）推进清洁生产和能源资源节约高效利用。</w:t>
      </w:r>
      <w:bookmarkStart w:id="8" w:name="_Hlk88815481"/>
      <w:r>
        <w:rPr>
          <w:rFonts w:ascii="Times New Roman" w:hAnsi="Times New Roman" w:eastAsia="仿宋_GB2312"/>
          <w:sz w:val="32"/>
          <w:szCs w:val="32"/>
        </w:rPr>
        <w:t>以清洁生产一级水平为标杆，不断提升行业清洁生产整体水平，开展生物医药等行业绿色供应链示范试点，持续推进绿色示范工厂建设。“十四五”期间，推进实施1-2个绿色园区、推进50家企业开展清洁生产审核。</w:t>
      </w:r>
      <w:bookmarkEnd w:id="8"/>
      <w:r>
        <w:rPr>
          <w:rFonts w:ascii="Times New Roman" w:hAnsi="Times New Roman" w:eastAsia="仿宋_GB2312"/>
          <w:sz w:val="32"/>
          <w:szCs w:val="22"/>
        </w:rPr>
        <w:t>完善能耗“双控”制度，建立“区域能评+区块能耗标准”机制。开展重点用能单位能源审计、实现建筑能耗监测在线率大于90%。强化重点领域节水，推进污水资源化利用。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楷体_GB2312"/>
          <w:sz w:val="32"/>
          <w:szCs w:val="22"/>
        </w:rPr>
        <w:t>（六）加强生态环境分区管控。</w:t>
      </w:r>
      <w:r>
        <w:rPr>
          <w:rFonts w:ascii="Times New Roman" w:hAnsi="Times New Roman" w:eastAsia="仿宋_GB2312"/>
          <w:sz w:val="32"/>
          <w:szCs w:val="22"/>
        </w:rPr>
        <w:t>加强“三线一单”成果在政策制定、环境准入、园区管理、执法监管等方面的应用</w:t>
      </w:r>
      <w:r>
        <w:rPr>
          <w:rFonts w:ascii="Times New Roman" w:hAnsi="Times New Roman" w:eastAsia="仿宋_GB2312"/>
          <w:sz w:val="32"/>
          <w:szCs w:val="32"/>
        </w:rPr>
        <w:t>，推动环境规划、经济规划、空间规划“三规合一”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，优化生态空间布局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楷体_GB2312"/>
          <w:sz w:val="32"/>
          <w:szCs w:val="22"/>
        </w:rPr>
        <w:t>（七）</w:t>
      </w:r>
      <w:bookmarkStart w:id="9" w:name="_Hlk60043665"/>
      <w:r>
        <w:rPr>
          <w:rFonts w:ascii="Times New Roman" w:hAnsi="Times New Roman" w:eastAsia="楷体_GB2312"/>
          <w:sz w:val="32"/>
          <w:szCs w:val="22"/>
        </w:rPr>
        <w:t>培育绿色</w:t>
      </w:r>
      <w:bookmarkEnd w:id="9"/>
      <w:r>
        <w:rPr>
          <w:rFonts w:ascii="Times New Roman" w:hAnsi="Times New Roman" w:eastAsia="楷体_GB2312"/>
          <w:sz w:val="32"/>
          <w:szCs w:val="22"/>
        </w:rPr>
        <w:t>生活方式。</w:t>
      </w:r>
      <w:r>
        <w:rPr>
          <w:rFonts w:ascii="Times New Roman" w:hAnsi="Times New Roman" w:eastAsia="仿宋_GB2312"/>
          <w:sz w:val="32"/>
          <w:szCs w:val="22"/>
        </w:rPr>
        <w:t>倡导绿色消费理念。大力推广节能环保低碳产品，推行绿色产品政府采购制度。</w:t>
      </w:r>
      <w:bookmarkStart w:id="10" w:name="_Hlk65743875"/>
      <w:r>
        <w:rPr>
          <w:rFonts w:ascii="Times New Roman" w:hAnsi="Times New Roman" w:eastAsia="仿宋_GB2312"/>
          <w:sz w:val="32"/>
          <w:szCs w:val="22"/>
        </w:rPr>
        <w:t>分类推进节约型机关、绿色学校、绿色社区、绿色商场等领域创建活动。加强塑料污染治理，推进快递包装绿色转型。</w:t>
      </w:r>
      <w:bookmarkEnd w:id="10"/>
      <w:r>
        <w:rPr>
          <w:rFonts w:hint="eastAsia" w:ascii="Times New Roman" w:hAnsi="Times New Roman" w:eastAsia="仿宋_GB2312"/>
          <w:sz w:val="32"/>
          <w:szCs w:val="22"/>
          <w:lang w:eastAsia="zh-CN"/>
        </w:rPr>
        <w:t>鼓励绿色产品认证，倡导绿色消费和绿色生活</w:t>
      </w:r>
      <w:r>
        <w:rPr>
          <w:rFonts w:ascii="Times New Roman" w:hAnsi="Times New Roman" w:eastAsia="仿宋_GB2312"/>
          <w:sz w:val="32"/>
          <w:szCs w:val="22"/>
        </w:rPr>
        <w:t>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三、深入打好蓝天保卫战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（八）打好臭氧污染防治攻坚战。</w:t>
      </w:r>
      <w:r>
        <w:rPr>
          <w:rFonts w:ascii="Times New Roman" w:hAnsi="Times New Roman" w:eastAsia="仿宋_GB2312"/>
          <w:sz w:val="32"/>
          <w:szCs w:val="32"/>
        </w:rPr>
        <w:t>推进VOCs排放精细化管理，减少无组织排放，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提升环保设施管理能力，深入</w:t>
      </w:r>
      <w:r>
        <w:rPr>
          <w:rFonts w:ascii="Times New Roman" w:hAnsi="Times New Roman" w:eastAsia="仿宋_GB2312"/>
          <w:sz w:val="32"/>
          <w:szCs w:val="32"/>
        </w:rPr>
        <w:t>挖掘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挥发性有机物</w:t>
      </w:r>
      <w:r>
        <w:rPr>
          <w:rFonts w:ascii="Times New Roman" w:hAnsi="Times New Roman" w:eastAsia="仿宋_GB2312"/>
          <w:sz w:val="32"/>
          <w:szCs w:val="32"/>
        </w:rPr>
        <w:t>减排潜力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。全面开展挥发性有机液体储罐治理，巩固汽修行业提标治理成效，持续加强锅炉和工业炉窑监管，落实细颗粒物和臭氧协同控制要求，继续开展重大活动和秋冬季重污染天气空气质量保障，</w:t>
      </w:r>
      <w:r>
        <w:rPr>
          <w:rFonts w:ascii="Times New Roman" w:hAnsi="Times New Roman" w:eastAsia="仿宋_GB2312"/>
          <w:sz w:val="32"/>
          <w:szCs w:val="32"/>
        </w:rPr>
        <w:t>多措并举减少臭氧污染。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（九）</w:t>
      </w:r>
      <w:bookmarkStart w:id="11" w:name="_Hlk88815703"/>
      <w:r>
        <w:rPr>
          <w:rFonts w:ascii="Times New Roman" w:hAnsi="Times New Roman" w:eastAsia="楷体_GB2312"/>
          <w:sz w:val="32"/>
          <w:szCs w:val="22"/>
        </w:rPr>
        <w:t>加大移动源污染防治力度。</w:t>
      </w:r>
      <w:bookmarkEnd w:id="11"/>
      <w:r>
        <w:rPr>
          <w:rFonts w:ascii="Times New Roman" w:hAnsi="Times New Roman" w:eastAsia="仿宋_GB2312"/>
          <w:sz w:val="32"/>
          <w:szCs w:val="22"/>
        </w:rPr>
        <w:t>融入长三角的公铁水组合型通道，积极推动货运向公转铁，公转水方式发展，提升铁路水路货运比重。持续推进区域机动车、船舶、非道路移动机械等污染源联防联治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，实现“车船油路”协同治理</w:t>
      </w:r>
      <w:r>
        <w:rPr>
          <w:rFonts w:ascii="Times New Roman" w:hAnsi="Times New Roman" w:eastAsia="仿宋_GB2312"/>
          <w:sz w:val="32"/>
          <w:szCs w:val="22"/>
        </w:rPr>
        <w:t>。继续推进车辆船舶淘汰和油品管控，加强非法加油点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打击力度，疏堵结合规范企业自备加油行为</w:t>
      </w:r>
      <w:r>
        <w:rPr>
          <w:rFonts w:ascii="Times New Roman" w:hAnsi="Times New Roman" w:eastAsia="仿宋_GB2312"/>
          <w:sz w:val="32"/>
          <w:szCs w:val="22"/>
        </w:rPr>
        <w:t>。持续加大新能源车推广力度，加快充电桩等配套基础设施建设，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开展氢能应用示范。</w:t>
      </w:r>
      <w:r>
        <w:rPr>
          <w:rFonts w:ascii="Times New Roman" w:hAnsi="Times New Roman" w:eastAsia="仿宋_GB2312"/>
          <w:sz w:val="32"/>
          <w:szCs w:val="32"/>
        </w:rPr>
        <w:t>持续推进邮轮港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等码头</w:t>
      </w:r>
      <w:r>
        <w:rPr>
          <w:rFonts w:ascii="Times New Roman" w:hAnsi="Times New Roman" w:eastAsia="仿宋_GB2312"/>
          <w:sz w:val="32"/>
          <w:szCs w:val="32"/>
        </w:rPr>
        <w:t>岸电设施建设，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持续提升</w:t>
      </w:r>
      <w:r>
        <w:rPr>
          <w:rFonts w:ascii="Times New Roman" w:hAnsi="Times New Roman" w:eastAsia="仿宋_GB2312"/>
          <w:sz w:val="32"/>
          <w:szCs w:val="32"/>
        </w:rPr>
        <w:t>岸电使用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比例</w:t>
      </w:r>
      <w:r>
        <w:rPr>
          <w:rFonts w:ascii="Times New Roman" w:hAnsi="Times New Roman" w:eastAsia="仿宋_GB2312"/>
          <w:sz w:val="32"/>
          <w:szCs w:val="22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（十）加强社会污染源治理。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加强扬尘治理力度，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构建和完善道路扬尘移动监测体系，结合城市网格化管理</w:t>
      </w:r>
      <w:r>
        <w:rPr>
          <w:rFonts w:ascii="Times New Roman" w:hAnsi="Times New Roman" w:eastAsia="仿宋_GB2312"/>
          <w:sz w:val="32"/>
          <w:szCs w:val="22"/>
        </w:rPr>
        <w:t>，推动市政工程、水务项目、建筑垃圾处置等全覆盖管理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，大力推广装配式建筑，加强垃圾堆点整治，推动扬尘点源即知即改</w:t>
      </w:r>
      <w:r>
        <w:rPr>
          <w:rFonts w:ascii="Times New Roman" w:hAnsi="Times New Roman" w:eastAsia="仿宋_GB2312"/>
          <w:sz w:val="32"/>
          <w:szCs w:val="22"/>
        </w:rPr>
        <w:t>。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推动</w:t>
      </w:r>
      <w:r>
        <w:rPr>
          <w:rFonts w:ascii="Times New Roman" w:hAnsi="Times New Roman" w:eastAsia="仿宋_GB2312"/>
          <w:sz w:val="32"/>
          <w:szCs w:val="22"/>
        </w:rPr>
        <w:t>餐饮油烟污染治理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纳入街镇行政执法事项，通过基层治理解决群众急难愁盼问题</w:t>
      </w:r>
      <w:r>
        <w:rPr>
          <w:rFonts w:ascii="Times New Roman" w:hAnsi="Times New Roman" w:eastAsia="仿宋_GB2312"/>
          <w:sz w:val="32"/>
          <w:szCs w:val="22"/>
        </w:rPr>
        <w:t>。推进消耗臭氧层物质和氢氟碳化物环境管理。加强噪声达标区管理。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四、深入打好碧水保卫战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（十一）打好“消黑除劣”成效保卫战。</w:t>
      </w:r>
      <w:r>
        <w:rPr>
          <w:rFonts w:ascii="Times New Roman" w:hAnsi="Times New Roman" w:eastAsia="仿宋_GB2312"/>
          <w:sz w:val="32"/>
          <w:szCs w:val="32"/>
        </w:rPr>
        <w:t>深入实施</w:t>
      </w:r>
      <w:r>
        <w:rPr>
          <w:rFonts w:ascii="Times New Roman" w:hAnsi="Times New Roman" w:eastAsia="仿宋_GB2312"/>
          <w:sz w:val="32"/>
          <w:szCs w:val="22"/>
        </w:rPr>
        <w:t>“</w:t>
      </w:r>
      <w:r>
        <w:rPr>
          <w:rFonts w:ascii="Times New Roman" w:hAnsi="Times New Roman" w:eastAsia="仿宋_GB2312"/>
          <w:sz w:val="32"/>
          <w:szCs w:val="32"/>
        </w:rPr>
        <w:t>河长制</w:t>
      </w:r>
      <w:r>
        <w:rPr>
          <w:rFonts w:ascii="Times New Roman" w:hAnsi="Times New Roman" w:eastAsia="仿宋_GB2312"/>
          <w:sz w:val="32"/>
          <w:szCs w:val="2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完善水质监测预警体系。</w:t>
      </w:r>
      <w:r>
        <w:rPr>
          <w:rFonts w:ascii="Times New Roman" w:hAnsi="Times New Roman" w:eastAsia="仿宋_GB2312"/>
          <w:sz w:val="32"/>
          <w:szCs w:val="32"/>
        </w:rPr>
        <w:t>持续推进全区入河排污口排查与溯源诊断，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“取缔一批、合并一批、改造一批”完成分类整治。不断巩固雨污混接治理成效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加快排水系统项目研究和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落地，推进初雨调蓄设施建设，开展泵站放江综合整治，减少面源污染排放。</w:t>
      </w:r>
      <w:r>
        <w:rPr>
          <w:rFonts w:ascii="Times New Roman" w:hAnsi="Times New Roman" w:eastAsia="仿宋_GB2312"/>
          <w:sz w:val="32"/>
          <w:szCs w:val="32"/>
        </w:rPr>
        <w:t>高质量推进罗泾镇、罗店镇、月浦镇、顾村镇清洁小流域建设，强化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一类污染物等</w:t>
      </w:r>
      <w:r>
        <w:rPr>
          <w:rFonts w:ascii="Times New Roman" w:hAnsi="Times New Roman" w:eastAsia="仿宋_GB2312"/>
          <w:sz w:val="32"/>
          <w:szCs w:val="32"/>
        </w:rPr>
        <w:t>重金属污染防治和医疗卫生机构污水治理，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实现</w:t>
      </w:r>
      <w:r>
        <w:rPr>
          <w:rFonts w:ascii="Times New Roman" w:hAnsi="Times New Roman" w:eastAsia="仿宋_GB2312"/>
          <w:sz w:val="32"/>
          <w:szCs w:val="32"/>
        </w:rPr>
        <w:t>水环境、水生态、水资源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协调统筹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22"/>
        </w:rPr>
        <w:t>到</w:t>
      </w:r>
      <w:bookmarkStart w:id="12" w:name="_Hlk95738212"/>
      <w:r>
        <w:rPr>
          <w:rFonts w:ascii="Times New Roman" w:hAnsi="Times New Roman" w:eastAsia="仿宋_GB2312"/>
          <w:sz w:val="32"/>
          <w:szCs w:val="22"/>
        </w:rPr>
        <w:t>2025年，河道稳定消除黑臭、劣Ⅴ类水体</w:t>
      </w:r>
      <w:bookmarkEnd w:id="12"/>
      <w:r>
        <w:rPr>
          <w:rFonts w:ascii="Times New Roman" w:hAnsi="Times New Roman" w:eastAsia="仿宋_GB2312"/>
          <w:sz w:val="32"/>
          <w:szCs w:val="22"/>
        </w:rPr>
        <w:t>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强化</w:t>
      </w:r>
      <w:r>
        <w:rPr>
          <w:rFonts w:ascii="Times New Roman" w:hAnsi="Times New Roman" w:eastAsia="仿宋_GB2312"/>
          <w:sz w:val="32"/>
          <w:szCs w:val="22"/>
        </w:rPr>
        <w:t>景观生态服务功能，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持续</w:t>
      </w:r>
      <w:r>
        <w:rPr>
          <w:rFonts w:ascii="Times New Roman" w:hAnsi="Times New Roman" w:eastAsia="仿宋_GB2312"/>
          <w:sz w:val="32"/>
          <w:szCs w:val="22"/>
        </w:rPr>
        <w:t>打造“幸福河”样板。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楷体_GB2312"/>
          <w:sz w:val="32"/>
          <w:szCs w:val="22"/>
        </w:rPr>
        <w:t>（十二）打好长江保护修复攻坚战。</w:t>
      </w:r>
      <w:r>
        <w:rPr>
          <w:rFonts w:ascii="Times New Roman" w:hAnsi="Times New Roman" w:eastAsia="仿宋_GB2312"/>
          <w:sz w:val="32"/>
          <w:szCs w:val="32"/>
        </w:rPr>
        <w:t>全面整治长江岸线2公里范围内非法设置和设置不合理的入河排污口。推进长江边滩垃圾清理，严格陆源污染控制。</w:t>
      </w:r>
      <w:r>
        <w:rPr>
          <w:rFonts w:ascii="Times New Roman" w:hAnsi="Times New Roman" w:eastAsia="仿宋_GB2312"/>
          <w:color w:val="000000"/>
          <w:sz w:val="32"/>
          <w:szCs w:val="32"/>
        </w:rPr>
        <w:t>依托长江水体、洲滩湿地，强化生态空间协同保护和修复，协同实施长江</w:t>
      </w:r>
      <w:r>
        <w:rPr>
          <w:rFonts w:ascii="Times New Roman" w:hAnsi="Times New Roman" w:eastAsia="仿宋_GB2312"/>
          <w:sz w:val="32"/>
          <w:szCs w:val="32"/>
        </w:rPr>
        <w:t>滨岸</w:t>
      </w:r>
      <w:r>
        <w:rPr>
          <w:rFonts w:ascii="Times New Roman" w:hAnsi="Times New Roman" w:eastAsia="仿宋_GB2312"/>
          <w:color w:val="000000"/>
          <w:sz w:val="32"/>
          <w:szCs w:val="32"/>
        </w:rPr>
        <w:t>造林绿化，合力打造长江生态保护带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严格实施长江流域重点水域十年禁渔。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bCs/>
          <w:sz w:val="32"/>
          <w:szCs w:val="32"/>
        </w:rPr>
        <w:t>（十三）强化水源地生态环境治理。</w:t>
      </w:r>
      <w:r>
        <w:rPr>
          <w:rFonts w:ascii="Times New Roman" w:hAnsi="Times New Roman" w:eastAsia="仿宋_GB2312"/>
          <w:sz w:val="32"/>
          <w:szCs w:val="32"/>
        </w:rPr>
        <w:t>全面落实陈行水源地安全保障的系列管控措施，重点加强保护区水域监管。开展“水田林湖”系统治理，实现人与自然和谐共生，打造“北上海绿色会客厅”。到2025年，水源地原水水质稳定达到Ⅲ类及以上水质标准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五、深入打好净土保卫战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</w:rPr>
        <w:t>（十四）打好农业农村污染治理攻坚战。</w:t>
      </w:r>
      <w:r>
        <w:rPr>
          <w:rFonts w:ascii="Times New Roman" w:hAnsi="Times New Roman" w:eastAsia="仿宋_GB2312"/>
          <w:sz w:val="32"/>
          <w:szCs w:val="32"/>
        </w:rPr>
        <w:t>深入推进农村环境治理，强化农业面源污染防治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加强农村生活污水处理设施的运维管理，健全完善长效管理机制</w:t>
      </w:r>
      <w:r>
        <w:rPr>
          <w:rFonts w:ascii="Times New Roman" w:hAnsi="Times New Roman" w:eastAsia="仿宋_GB2312"/>
          <w:sz w:val="32"/>
          <w:szCs w:val="32"/>
          <w:shd w:val="clear" w:color="auto" w:fill="FFFFFF" w:themeFill="background1"/>
        </w:rPr>
        <w:t>。</w:t>
      </w:r>
      <w:r>
        <w:rPr>
          <w:rFonts w:ascii="Times New Roman" w:hAnsi="Times New Roman" w:eastAsia="仿宋_GB2312"/>
          <w:sz w:val="32"/>
          <w:szCs w:val="32"/>
        </w:rPr>
        <w:t>继续建设美丽乡村，保护绿色乡愁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，推动乡村振兴</w:t>
      </w:r>
      <w:r>
        <w:rPr>
          <w:rFonts w:ascii="Times New Roman" w:hAnsi="Times New Roman" w:eastAsia="仿宋_GB2312"/>
          <w:sz w:val="32"/>
          <w:szCs w:val="32"/>
        </w:rPr>
        <w:t>。大力推广绿色农业，加强农产品绿色认证，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推动农药和化肥用量持续下降，做大做强农业废弃物循环利用品牌项目。</w:t>
      </w:r>
      <w:r>
        <w:rPr>
          <w:rFonts w:ascii="Times New Roman" w:hAnsi="Times New Roman" w:eastAsia="仿宋_GB2312"/>
          <w:sz w:val="32"/>
          <w:szCs w:val="32"/>
        </w:rPr>
        <w:t>规范水产养殖，坚决落实最严格的耕地保护措施，着力提升农业农村现代化水平。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lang w:val="en"/>
        </w:rPr>
      </w:pPr>
      <w:r>
        <w:rPr>
          <w:rFonts w:ascii="Times New Roman" w:hAnsi="Times New Roman" w:eastAsia="楷体_GB2312"/>
          <w:sz w:val="32"/>
        </w:rPr>
        <w:t>（十五）加强农用地污染风险防控。</w:t>
      </w:r>
      <w:r>
        <w:rPr>
          <w:rFonts w:ascii="Times New Roman" w:hAnsi="Times New Roman" w:eastAsia="仿宋_GB2312"/>
          <w:sz w:val="32"/>
          <w:szCs w:val="22"/>
        </w:rPr>
        <w:t>加强受污染农用地周边重点污染源日常监管，加强农业投入品管控，健全农业投入品废弃物回收和处置体系。强化农用地分类分级管理，完善农用地土壤风险管控的多部门协调机制，加强对农村复垦土地的土壤环境管理。到2025年，受污染耕地安全利用率达到99%以上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</w:rPr>
        <w:t>（十六）提升建设用地风险管控水平。</w:t>
      </w:r>
      <w:r>
        <w:rPr>
          <w:rFonts w:ascii="Times New Roman" w:hAnsi="Times New Roman" w:eastAsia="仿宋_GB2312"/>
          <w:sz w:val="32"/>
          <w:szCs w:val="22"/>
        </w:rPr>
        <w:t>强化土地污染风险管控机制，定期更新建设用地土壤污染风险管控和修复名录，实施严格用地准入管理。</w:t>
      </w:r>
      <w:r>
        <w:rPr>
          <w:rFonts w:ascii="Times New Roman" w:hAnsi="Times New Roman" w:eastAsia="仿宋_GB2312"/>
          <w:sz w:val="32"/>
        </w:rPr>
        <w:t>强化源头管控，督促重点监管单位落实自行监测、隐患排查、拆除活动备案等法定义务。</w:t>
      </w:r>
      <w:r>
        <w:rPr>
          <w:rFonts w:ascii="Times New Roman" w:hAnsi="Times New Roman" w:eastAsia="仿宋_GB2312"/>
          <w:sz w:val="32"/>
          <w:szCs w:val="22"/>
        </w:rPr>
        <w:t>加大重点区域治理修复力度，有序开展土壤治理修复，</w:t>
      </w:r>
      <w:r>
        <w:rPr>
          <w:rFonts w:hint="eastAsia" w:ascii="Times New Roman" w:hAnsi="Times New Roman" w:eastAsia="仿宋_GB2312"/>
          <w:sz w:val="32"/>
          <w:szCs w:val="32"/>
        </w:rPr>
        <w:t>扩大土壤集中修复试点范围，</w:t>
      </w:r>
      <w:r>
        <w:rPr>
          <w:rFonts w:ascii="Times New Roman" w:hAnsi="Times New Roman" w:eastAsia="仿宋_GB2312"/>
          <w:sz w:val="32"/>
          <w:szCs w:val="22"/>
        </w:rPr>
        <w:t>探索“环境修复+开发建设”模式。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</w:rPr>
        <w:t>（十七）积极创建“无废城市”。</w:t>
      </w:r>
      <w:r>
        <w:rPr>
          <w:rFonts w:ascii="Times New Roman" w:hAnsi="Times New Roman" w:eastAsia="仿宋"/>
          <w:sz w:val="32"/>
          <w:szCs w:val="32"/>
        </w:rPr>
        <w:t>以“资源化、减量化、协同化”为核心，推进以循环经济为导向的城乡废弃物治理，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持续加强工业固废和危废监管</w:t>
      </w:r>
      <w:r>
        <w:rPr>
          <w:rFonts w:hint="eastAsia" w:ascii="Times New Roman" w:hAnsi="Times New Roman" w:eastAsia="仿宋_GB2312"/>
          <w:sz w:val="32"/>
          <w:szCs w:val="32"/>
        </w:rPr>
        <w:t>，加大废钢、废旧金属等</w:t>
      </w:r>
      <w:r>
        <w:rPr>
          <w:rFonts w:ascii="Times New Roman" w:hAnsi="Times New Roman" w:eastAsia="仿宋"/>
          <w:sz w:val="32"/>
          <w:szCs w:val="32"/>
        </w:rPr>
        <w:t>废旧物质回收行业专项整治行动，提升各类固废资源化利用水平，促进生态垃圾分类提质增效。完善</w:t>
      </w:r>
      <w:r>
        <w:rPr>
          <w:rFonts w:ascii="Times New Roman" w:hAnsi="Times New Roman" w:eastAsia="仿宋_GB2312"/>
          <w:sz w:val="32"/>
          <w:szCs w:val="32"/>
        </w:rPr>
        <w:t>涉疫医废收集、包装、转运工作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政企合作，打造</w:t>
      </w:r>
      <w:r>
        <w:rPr>
          <w:rFonts w:hint="eastAsia" w:ascii="Times New Roman" w:hAnsi="Times New Roman" w:eastAsia="仿宋_GB2312"/>
          <w:sz w:val="32"/>
          <w:szCs w:val="32"/>
        </w:rPr>
        <w:t>宝武集团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无废钢厂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城市钢厂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无废城市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服务模式，从服务钢厂向服务城市延申</w:t>
      </w:r>
      <w:r>
        <w:rPr>
          <w:rFonts w:ascii="Times New Roman" w:hAnsi="Times New Roman" w:eastAsia="仿宋"/>
          <w:sz w:val="32"/>
          <w:szCs w:val="32"/>
        </w:rPr>
        <w:t>，积极创建“无废城市”。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</w:rPr>
        <w:t>（十八）强化地下水污染协同治理。</w:t>
      </w:r>
      <w:r>
        <w:rPr>
          <w:rFonts w:ascii="Times New Roman" w:hAnsi="Times New Roman" w:eastAsia="仿宋_GB2312"/>
          <w:sz w:val="32"/>
          <w:szCs w:val="32"/>
        </w:rPr>
        <w:t>配合建立全市土壤及地下水环境监测信息平台，优化整合土壤、地下水环境联动监测网络。强化建设用地土壤、地下水污染协同防治。落实地下水污染防治分区要求，按照保护区、防控区、治理区等，实施地下水污染分区分类防控管理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六、切实维护生态环境安全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（十九）提升生态系统质量。</w:t>
      </w:r>
      <w:r>
        <w:rPr>
          <w:rFonts w:ascii="Times New Roman" w:hAnsi="Times New Roman" w:eastAsia="仿宋_GB2312"/>
          <w:sz w:val="32"/>
          <w:szCs w:val="32"/>
        </w:rPr>
        <w:t>开展增绿行动，推进绿地、林地、湿地融合发展，增强生态系统碳汇能力。到2025年，森林覆盖率达到18％以上，</w:t>
      </w:r>
      <w:r>
        <w:rPr>
          <w:rFonts w:ascii="Times New Roman" w:hAnsi="Times New Roman" w:eastAsia="仿宋_GB2312"/>
          <w:sz w:val="32"/>
          <w:szCs w:val="32"/>
          <w:shd w:val="clear" w:color="auto" w:fill="FFFFFF" w:themeFill="background1"/>
        </w:rPr>
        <w:t>人均公园绿地面积达到12.7平方米。</w:t>
      </w:r>
      <w:r>
        <w:rPr>
          <w:rFonts w:ascii="Times New Roman" w:hAnsi="Times New Roman" w:eastAsia="仿宋_GB2312"/>
          <w:bCs/>
          <w:sz w:val="32"/>
          <w:szCs w:val="32"/>
        </w:rPr>
        <w:t>优化生态空间</w:t>
      </w:r>
      <w:r>
        <w:rPr>
          <w:rFonts w:ascii="Times New Roman" w:hAnsi="Times New Roman" w:eastAsia="仿宋_GB2312"/>
          <w:sz w:val="32"/>
          <w:szCs w:val="32"/>
        </w:rPr>
        <w:t>，持续开展“2+6+2”环上公园群建设，加快逸仙公园、美兰湖中央公园、气象公园、丰翔智秀公园建设，提升南大中央公园、吴淞中央公园建设标准，美化吴淞江、蕴藻浜生态廊道，巩固炮台湾公园湿地保护成效，打造宝山版“一江一河一带”，涵养城市发展生态气质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（二十）加强生物多样性保护。</w:t>
      </w:r>
      <w:r>
        <w:rPr>
          <w:rFonts w:ascii="Times New Roman" w:hAnsi="Times New Roman" w:eastAsia="仿宋_GB2312"/>
          <w:sz w:val="32"/>
          <w:szCs w:val="32"/>
        </w:rPr>
        <w:t>开展野生动植物资源调查监测评价，加强重要植物资源保护和本地物种保护。推进一批小微湿地保护恢复工作，提升河流湖泊生物多样性。推进长江“十年禁渔”工作。加大生物多样性科普宣传力度。不定期开展农贸市场、花鸟市场等重点区域检查，防范外来生物入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楷体_GB2312"/>
          <w:sz w:val="32"/>
          <w:szCs w:val="22"/>
        </w:rPr>
        <w:t>（二十一）完善风险防控响应体系。</w:t>
      </w:r>
      <w:bookmarkStart w:id="13" w:name="_Hlk96610444"/>
      <w:r>
        <w:rPr>
          <w:rFonts w:ascii="Times New Roman" w:hAnsi="Times New Roman" w:eastAsia="仿宋_GB2312"/>
          <w:sz w:val="32"/>
          <w:szCs w:val="22"/>
        </w:rPr>
        <w:t>建立严格的生态红线管控体系，确保生态功能不降低、面积不减少、性质不改变。定期修编区级环境应急预案，继续完善重点产业园区环境监测预警体系建设。强化企业环境风险防控，加强环境应急处置队伍建设，强化环境应急机制建设和应急物资储备，提升环境应急管理决策水平，提高风险防控和应急处置能力。</w:t>
      </w:r>
      <w:bookmarkEnd w:id="1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楷体_GB2312"/>
          <w:sz w:val="32"/>
          <w:szCs w:val="22"/>
        </w:rPr>
        <w:t>（二十二）</w:t>
      </w:r>
      <w:bookmarkStart w:id="14" w:name="_Hlk96610557"/>
      <w:r>
        <w:rPr>
          <w:rFonts w:ascii="Times New Roman" w:hAnsi="Times New Roman" w:eastAsia="楷体_GB2312"/>
          <w:sz w:val="32"/>
          <w:szCs w:val="22"/>
        </w:rPr>
        <w:t>保障辐射环境安全</w:t>
      </w:r>
      <w:bookmarkEnd w:id="14"/>
      <w:r>
        <w:rPr>
          <w:rFonts w:ascii="Times New Roman" w:hAnsi="Times New Roman" w:eastAsia="楷体_GB2312"/>
          <w:sz w:val="32"/>
          <w:szCs w:val="22"/>
        </w:rPr>
        <w:t>。</w:t>
      </w:r>
      <w:r>
        <w:rPr>
          <w:rFonts w:ascii="Times New Roman" w:hAnsi="Times New Roman" w:eastAsia="仿宋_GB2312"/>
          <w:sz w:val="32"/>
          <w:szCs w:val="22"/>
        </w:rPr>
        <w:t>定期修编区级核与辐射事故应急预案，完善本区辐射应急指挥平台,加强辐射监测能力建设，加强辐射应急和预警体系建设。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（二十三）</w:t>
      </w:r>
      <w:r>
        <w:rPr>
          <w:rFonts w:ascii="Times New Roman" w:hAnsi="Times New Roman" w:eastAsia="楷体"/>
          <w:bCs/>
          <w:sz w:val="32"/>
          <w:szCs w:val="32"/>
        </w:rPr>
        <w:t>强化重金属和新污染物污染防治。</w:t>
      </w:r>
      <w:r>
        <w:rPr>
          <w:rFonts w:ascii="Times New Roman" w:hAnsi="Times New Roman" w:eastAsia="仿宋_GB2312"/>
          <w:sz w:val="32"/>
          <w:szCs w:val="32"/>
        </w:rPr>
        <w:t>持续更新涉重企业全口径环境信息清单，严格涉重金属排放项目环境准入。强化新化学物质环境管理登记，加强事中事后监管，严格落实有毒有害化学物质环境管理制度。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七、</w:t>
      </w:r>
      <w:bookmarkStart w:id="15" w:name="_Hlk95752318"/>
      <w:r>
        <w:rPr>
          <w:rFonts w:ascii="Times New Roman" w:hAnsi="Times New Roman" w:eastAsia="黑体"/>
          <w:kern w:val="0"/>
          <w:sz w:val="32"/>
          <w:szCs w:val="32"/>
        </w:rPr>
        <w:t>提高生态环境治理体系和治理能力现代化水平</w:t>
      </w:r>
      <w:bookmarkEnd w:id="15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（二十四）加强绩效考核。</w:t>
      </w:r>
      <w:r>
        <w:rPr>
          <w:rFonts w:ascii="Times New Roman" w:hAnsi="Times New Roman" w:eastAsia="仿宋_GB2312"/>
          <w:sz w:val="32"/>
          <w:szCs w:val="32"/>
        </w:rPr>
        <w:t>深化生态环境执法改革，结合数字化转型，着力提升基层环境治理能力，用好第三方管理，聚焦群众身边的环境污染攻坚克难，保障民生。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（二十五）推行审慎监管。</w:t>
      </w:r>
      <w:r>
        <w:rPr>
          <w:rFonts w:ascii="Times New Roman" w:hAnsi="Times New Roman" w:eastAsia="仿宋_GB2312"/>
          <w:sz w:val="32"/>
          <w:szCs w:val="32"/>
        </w:rPr>
        <w:t>建立生态环境执法正面清单和负面清单，用好信用评价和经济杠杆，优化行政许可，加强事中事后监管，全面落实“双随机一公开”，减轻企业负担的同时提高监管效率，提升企业治理水平。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（二十六）倡导资源循环利用。</w:t>
      </w:r>
      <w:r>
        <w:rPr>
          <w:rFonts w:ascii="Times New Roman" w:hAnsi="Times New Roman" w:eastAsia="仿宋_GB2312"/>
          <w:sz w:val="32"/>
          <w:szCs w:val="32"/>
        </w:rPr>
        <w:t>继续推进垃圾分类，高标准建设再生能源中心。持续规范建设废弃物、农业废弃物、生活废弃物、工业固废的减量化和循环化，减少水、土、气等二次污染。加强塑料污染治理，推进快递包装减量化，倡导生活中的可持续发展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  <w:szCs w:val="22"/>
        </w:rPr>
        <w:t>（二十八）完善资金投入机制。</w:t>
      </w:r>
      <w:r>
        <w:rPr>
          <w:rFonts w:ascii="Times New Roman" w:hAnsi="Times New Roman" w:eastAsia="仿宋_GB2312"/>
          <w:sz w:val="32"/>
          <w:szCs w:val="32"/>
        </w:rPr>
        <w:t>加大环境基础设施建设投入力度，加强对企业节能减排和污染治理的支持。拓宽投融资渠道，积极推行政府和社会资本合作，吸引社会资本参与准公益性和公益性环境保护项目。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设立2亿元绿色低碳专项资金，充分</w:t>
      </w:r>
      <w:r>
        <w:rPr>
          <w:rFonts w:hint="eastAsia" w:ascii="Times New Roman" w:hAnsi="Times New Roman" w:eastAsia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碳中和主题基金—“宝武绿碳”基金的</w:t>
      </w:r>
      <w:r>
        <w:rPr>
          <w:rFonts w:hint="eastAsia" w:ascii="Times New Roman" w:hAnsi="Times New Roman" w:eastAsia="仿宋_GB2312"/>
          <w:sz w:val="32"/>
          <w:szCs w:val="32"/>
        </w:rPr>
        <w:t>招大引强作用。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lang w:val="en"/>
        </w:rPr>
      </w:pPr>
      <w:r>
        <w:rPr>
          <w:rFonts w:ascii="Times New Roman" w:hAnsi="Times New Roman" w:eastAsia="楷体_GB2312"/>
          <w:sz w:val="32"/>
          <w:szCs w:val="22"/>
        </w:rPr>
        <w:t>（二十九）</w:t>
      </w:r>
      <w:bookmarkStart w:id="16" w:name="_Hlk96613998"/>
      <w:r>
        <w:rPr>
          <w:rFonts w:ascii="Times New Roman" w:hAnsi="Times New Roman" w:eastAsia="楷体_GB2312"/>
          <w:sz w:val="32"/>
          <w:szCs w:val="22"/>
        </w:rPr>
        <w:t>实施环境基础设施补短板行动</w:t>
      </w:r>
      <w:bookmarkEnd w:id="16"/>
      <w:r>
        <w:rPr>
          <w:rFonts w:ascii="Times New Roman" w:hAnsi="Times New Roman" w:eastAsia="楷体_GB2312"/>
          <w:sz w:val="32"/>
          <w:szCs w:val="22"/>
        </w:rPr>
        <w:t>。</w:t>
      </w:r>
      <w:r>
        <w:rPr>
          <w:rFonts w:ascii="Times New Roman" w:hAnsi="Times New Roman" w:eastAsia="仿宋_GB2312"/>
          <w:sz w:val="32"/>
          <w:szCs w:val="22"/>
        </w:rPr>
        <w:t>到2025年，完成泰和污水处理厂20万立方米/日扩建工程，实施泰和污水处理厂中水回用，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加快推进竹石联通管等配套项目，</w:t>
      </w:r>
      <w:r>
        <w:rPr>
          <w:rFonts w:ascii="Times New Roman" w:hAnsi="Times New Roman" w:eastAsia="仿宋_GB2312"/>
          <w:sz w:val="32"/>
          <w:szCs w:val="32"/>
          <w:shd w:val="clear" w:color="auto" w:fill="FFFFFF" w:themeFill="background1"/>
        </w:rPr>
        <w:t>农村污水处理设施实施升级改造</w:t>
      </w:r>
      <w:r>
        <w:rPr>
          <w:rFonts w:ascii="Times New Roman" w:hAnsi="Times New Roman" w:eastAsia="仿宋_GB2312"/>
          <w:sz w:val="32"/>
          <w:szCs w:val="22"/>
        </w:rPr>
        <w:t>。完成宝钢支线扩容改造工程，推进吴淞创新城配套污水管网工程，完善排水系统建设，完成1.1万立方米/日泗塘初雨调蓄工程。</w:t>
      </w:r>
      <w:r>
        <w:rPr>
          <w:rFonts w:ascii="Times New Roman" w:hAnsi="Times New Roman" w:eastAsia="仿宋_GB2312"/>
          <w:sz w:val="32"/>
          <w:szCs w:val="32"/>
        </w:rPr>
        <w:t>协同推进宝钢宝山基地资源循环利用基地建设，提高区内工业固废和危险废物的协同处置能力。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八、</w:t>
      </w:r>
      <w:bookmarkStart w:id="17" w:name="_Hlk96614312"/>
      <w:r>
        <w:rPr>
          <w:rFonts w:ascii="Times New Roman" w:hAnsi="Times New Roman" w:eastAsia="黑体"/>
          <w:kern w:val="0"/>
          <w:sz w:val="32"/>
          <w:szCs w:val="32"/>
        </w:rPr>
        <w:t>加强组织</w:t>
      </w:r>
      <w:bookmarkEnd w:id="17"/>
      <w:r>
        <w:rPr>
          <w:rFonts w:ascii="Times New Roman" w:hAnsi="Times New Roman" w:eastAsia="黑体"/>
          <w:kern w:val="0"/>
          <w:sz w:val="32"/>
          <w:szCs w:val="32"/>
        </w:rPr>
        <w:t>实施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22"/>
        </w:rPr>
        <w:t>（三十）强化组织领导。</w:t>
      </w:r>
      <w:bookmarkStart w:id="18" w:name="_Hlk95746904"/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加强宝山区深入打好污染防治攻坚战工作的统筹领导、协调推进和监督落实</w:t>
      </w:r>
      <w:bookmarkEnd w:id="18"/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，确保各项工作目标任务、实施计划分解落地。强化部门协作、条块联动，定期沟通研究规划实施过程中遇到的重大问题。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22"/>
        </w:rPr>
        <w:t>（三十一）强化责任落实。</w:t>
      </w:r>
      <w:r>
        <w:rPr>
          <w:rFonts w:hint="eastAsia" w:ascii="仿宋_GB2312" w:hAnsi="Times New Roman" w:eastAsia="仿宋_GB2312"/>
          <w:sz w:val="32"/>
          <w:szCs w:val="22"/>
          <w:shd w:val="clear" w:color="auto" w:fill="FFFFFF"/>
        </w:rPr>
        <w:t>严格落实生态环境保护党政同责、一岗双责，修订出台《宝山区生态环境保护工作责任清单》。建立健全生态文明建设领导机制，持续完善区生态环境保护委员会的双主任制，不断完善</w:t>
      </w:r>
      <w:r>
        <w:rPr>
          <w:rFonts w:hint="eastAsia" w:ascii="仿宋_GB2312" w:hAnsi="Times New Roman" w:eastAsia="仿宋_GB2312"/>
          <w:sz w:val="32"/>
          <w:szCs w:val="32"/>
        </w:rPr>
        <w:t>“田长制、林长制”，深化落实“河长制、片长制、路长制”。</w:t>
      </w:r>
      <w:bookmarkStart w:id="20" w:name="_GoBack"/>
      <w:bookmarkEnd w:id="20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22"/>
          <w:shd w:val="clear" w:color="auto" w:fill="FFFFFF"/>
        </w:rPr>
      </w:pPr>
      <w:r>
        <w:rPr>
          <w:rFonts w:ascii="Times New Roman" w:hAnsi="Times New Roman" w:eastAsia="楷体_GB2312"/>
          <w:sz w:val="32"/>
          <w:szCs w:val="22"/>
        </w:rPr>
        <w:t>（三十二）强化监督考核。</w:t>
      </w:r>
      <w:r>
        <w:rPr>
          <w:rFonts w:ascii="Times New Roman" w:hAnsi="Times New Roman" w:eastAsia="仿宋_GB2312"/>
          <w:color w:val="000000"/>
          <w:sz w:val="32"/>
          <w:szCs w:val="22"/>
          <w:shd w:val="clear" w:color="auto" w:fill="FFFFFF"/>
        </w:rPr>
        <w:t>将深入打好污染防治攻坚战重点任务纳入区目标管理体系，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将“双碳”工作相关指标纳入经济社会发展综合评价体系，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通过生态环境保护督察压实责任，</w:t>
      </w:r>
      <w:r>
        <w:rPr>
          <w:rFonts w:ascii="Times New Roman" w:hAnsi="Times New Roman" w:eastAsia="仿宋_GB2312"/>
          <w:color w:val="000000"/>
          <w:sz w:val="32"/>
          <w:szCs w:val="22"/>
          <w:shd w:val="clear" w:color="auto" w:fill="FFFFFF"/>
        </w:rPr>
        <w:t>强化污染防治攻坚战绩效考核结果运用。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楷体_GB2312"/>
          <w:sz w:val="32"/>
          <w:szCs w:val="22"/>
        </w:rPr>
        <w:t>（三十三）强化宣传引导。</w:t>
      </w:r>
      <w:bookmarkStart w:id="19" w:name="_Hlk95747172"/>
      <w:r>
        <w:rPr>
          <w:rFonts w:ascii="Times New Roman" w:hAnsi="Times New Roman" w:eastAsia="仿宋_GB2312"/>
          <w:sz w:val="32"/>
        </w:rPr>
        <w:t>做好污染防治攻坚战成效、典型案例和先进事迹的报道与经验推广</w:t>
      </w:r>
      <w:bookmarkEnd w:id="19"/>
      <w:r>
        <w:rPr>
          <w:rFonts w:ascii="Times New Roman" w:hAnsi="Times New Roman" w:eastAsia="仿宋_GB2312"/>
          <w:sz w:val="32"/>
          <w:szCs w:val="32"/>
        </w:rPr>
        <w:t>，不断扩大生态环境受众面和影响力。持续推进环保设施向公众开放、吴淞工业区整治展示馆和环境法制教育基地“两馆合一”、罗泾饮用水源地和塘湾村成为全市生态宣传品牌项目。</w:t>
      </w:r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搭建</w:t>
      </w:r>
      <w:r>
        <w:rPr>
          <w:rFonts w:ascii="Times New Roman" w:hAnsi="Times New Roman" w:eastAsia="仿宋_GB2312"/>
          <w:sz w:val="32"/>
          <w:szCs w:val="32"/>
        </w:rPr>
        <w:t>3节日（生物多样性日、六五环境日、低碳日）+3平台（社团服务、市民宣讲团、教育团队）的全方位</w:t>
      </w:r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环保宣教</w:t>
      </w:r>
      <w:r>
        <w:rPr>
          <w:rFonts w:ascii="Times New Roman" w:hAnsi="Times New Roman" w:eastAsia="仿宋_GB2312"/>
          <w:sz w:val="32"/>
          <w:szCs w:val="32"/>
        </w:rPr>
        <w:t>体系。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楷体_GB2312"/>
          <w:sz w:val="32"/>
          <w:szCs w:val="22"/>
        </w:rPr>
        <w:t>（三十四）强化队伍建设。</w:t>
      </w:r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推进生态环境监测执法机构能力标准化建设，</w:t>
      </w:r>
      <w:r>
        <w:rPr>
          <w:rFonts w:hint="eastAsia" w:ascii="Times New Roman" w:hAnsi="Times New Roman" w:eastAsia="仿宋_GB2312"/>
          <w:sz w:val="32"/>
          <w:szCs w:val="22"/>
          <w:shd w:val="clear" w:color="auto" w:fill="FFFFFF"/>
          <w:lang w:eastAsia="zh-CN"/>
        </w:rPr>
        <w:t>持续开展生态环境执法大练兵，</w:t>
      </w:r>
      <w:r>
        <w:rPr>
          <w:rFonts w:ascii="Times New Roman" w:hAnsi="Times New Roman" w:eastAsia="仿宋_GB2312"/>
          <w:sz w:val="32"/>
          <w:szCs w:val="22"/>
          <w:shd w:val="clear" w:color="auto" w:fill="FFFFFF"/>
        </w:rPr>
        <w:t>提升基层环保队伍能力。加大在生态环境保护工作中表现优秀干部的培养和选拔力度。按照有关规定表彰在污染防治攻坚战中成绩显著、贡献突出的先进单位和个人。</w:t>
      </w:r>
    </w:p>
    <w:sectPr>
      <w:footerReference r:id="rId3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2779395</wp:posOffset>
              </wp:positionH>
              <wp:positionV relativeFrom="paragraph">
                <wp:posOffset>-9525</wp:posOffset>
              </wp:positionV>
              <wp:extent cx="57785" cy="131445"/>
              <wp:effectExtent l="0" t="0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85pt;margin-top:-0.75pt;height:10.35pt;width:4.5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OBW9/1gAAAAkBAAAPAAAAAAAAAAEAIAAAADgA&#10;AABkcnMvZG93bnJldi54bWxQSwECFAAUAAAACACHTuJAw8J7JPUBAADAAwAADgAAAAAAAAABACAA&#10;AAA7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4"/>
    <w:rsid w:val="000045F5"/>
    <w:rsid w:val="00007DA0"/>
    <w:rsid w:val="00013785"/>
    <w:rsid w:val="00020E6D"/>
    <w:rsid w:val="0002457D"/>
    <w:rsid w:val="00030D17"/>
    <w:rsid w:val="00030D23"/>
    <w:rsid w:val="00043B08"/>
    <w:rsid w:val="000447DC"/>
    <w:rsid w:val="0005076F"/>
    <w:rsid w:val="0006118C"/>
    <w:rsid w:val="00062589"/>
    <w:rsid w:val="0006310B"/>
    <w:rsid w:val="00067A44"/>
    <w:rsid w:val="00070FDB"/>
    <w:rsid w:val="00072D78"/>
    <w:rsid w:val="000828D3"/>
    <w:rsid w:val="00085825"/>
    <w:rsid w:val="00091578"/>
    <w:rsid w:val="00092A5F"/>
    <w:rsid w:val="00094B74"/>
    <w:rsid w:val="00096A7E"/>
    <w:rsid w:val="00096D6F"/>
    <w:rsid w:val="000A6E01"/>
    <w:rsid w:val="000B226D"/>
    <w:rsid w:val="000B2B85"/>
    <w:rsid w:val="000B4F22"/>
    <w:rsid w:val="000C031B"/>
    <w:rsid w:val="000D212F"/>
    <w:rsid w:val="000D73F8"/>
    <w:rsid w:val="000D7F9D"/>
    <w:rsid w:val="000F3A20"/>
    <w:rsid w:val="000F5704"/>
    <w:rsid w:val="000F611A"/>
    <w:rsid w:val="00111085"/>
    <w:rsid w:val="0011459A"/>
    <w:rsid w:val="0011460A"/>
    <w:rsid w:val="00116C02"/>
    <w:rsid w:val="00117229"/>
    <w:rsid w:val="001220A9"/>
    <w:rsid w:val="00122130"/>
    <w:rsid w:val="00132E69"/>
    <w:rsid w:val="001401EF"/>
    <w:rsid w:val="001443B7"/>
    <w:rsid w:val="00147C55"/>
    <w:rsid w:val="0015014B"/>
    <w:rsid w:val="00150C4D"/>
    <w:rsid w:val="00154288"/>
    <w:rsid w:val="001548CF"/>
    <w:rsid w:val="0015663C"/>
    <w:rsid w:val="00161FF7"/>
    <w:rsid w:val="00164114"/>
    <w:rsid w:val="00167453"/>
    <w:rsid w:val="00174752"/>
    <w:rsid w:val="001A2071"/>
    <w:rsid w:val="001A3B1C"/>
    <w:rsid w:val="001A3E3A"/>
    <w:rsid w:val="001A5E4D"/>
    <w:rsid w:val="001B1197"/>
    <w:rsid w:val="001B6DD4"/>
    <w:rsid w:val="001D24B1"/>
    <w:rsid w:val="001E18F9"/>
    <w:rsid w:val="001E31CA"/>
    <w:rsid w:val="001F0773"/>
    <w:rsid w:val="001F1038"/>
    <w:rsid w:val="001F234C"/>
    <w:rsid w:val="001F54A4"/>
    <w:rsid w:val="001F54BF"/>
    <w:rsid w:val="001F6595"/>
    <w:rsid w:val="002001B6"/>
    <w:rsid w:val="0021678F"/>
    <w:rsid w:val="00222E8F"/>
    <w:rsid w:val="00235F4E"/>
    <w:rsid w:val="00240B93"/>
    <w:rsid w:val="00242471"/>
    <w:rsid w:val="00257E19"/>
    <w:rsid w:val="00260A27"/>
    <w:rsid w:val="0026594A"/>
    <w:rsid w:val="002660B0"/>
    <w:rsid w:val="00267CE7"/>
    <w:rsid w:val="00272E2E"/>
    <w:rsid w:val="00277A24"/>
    <w:rsid w:val="00281B74"/>
    <w:rsid w:val="00292494"/>
    <w:rsid w:val="002A0EC9"/>
    <w:rsid w:val="002A1406"/>
    <w:rsid w:val="002A67B5"/>
    <w:rsid w:val="002C2EA6"/>
    <w:rsid w:val="002C32FB"/>
    <w:rsid w:val="002C5888"/>
    <w:rsid w:val="002E2400"/>
    <w:rsid w:val="002F3372"/>
    <w:rsid w:val="003143C5"/>
    <w:rsid w:val="00315BD7"/>
    <w:rsid w:val="003318B6"/>
    <w:rsid w:val="00332BA4"/>
    <w:rsid w:val="00344D67"/>
    <w:rsid w:val="003452E6"/>
    <w:rsid w:val="003455BA"/>
    <w:rsid w:val="003474C6"/>
    <w:rsid w:val="003533DD"/>
    <w:rsid w:val="00356D86"/>
    <w:rsid w:val="00362539"/>
    <w:rsid w:val="00362666"/>
    <w:rsid w:val="0036338D"/>
    <w:rsid w:val="00365397"/>
    <w:rsid w:val="003675A7"/>
    <w:rsid w:val="00375238"/>
    <w:rsid w:val="00386C97"/>
    <w:rsid w:val="00387E0E"/>
    <w:rsid w:val="003B2CA2"/>
    <w:rsid w:val="003B3BA4"/>
    <w:rsid w:val="003B4936"/>
    <w:rsid w:val="003B6FD5"/>
    <w:rsid w:val="003E1650"/>
    <w:rsid w:val="003E24C5"/>
    <w:rsid w:val="003E406F"/>
    <w:rsid w:val="0041273A"/>
    <w:rsid w:val="00412F29"/>
    <w:rsid w:val="004141B0"/>
    <w:rsid w:val="0042108A"/>
    <w:rsid w:val="00421683"/>
    <w:rsid w:val="00432071"/>
    <w:rsid w:val="00452D93"/>
    <w:rsid w:val="00461546"/>
    <w:rsid w:val="00462C0F"/>
    <w:rsid w:val="0046330D"/>
    <w:rsid w:val="0046394A"/>
    <w:rsid w:val="00467973"/>
    <w:rsid w:val="004707ED"/>
    <w:rsid w:val="00471157"/>
    <w:rsid w:val="00471972"/>
    <w:rsid w:val="00473F96"/>
    <w:rsid w:val="00476D6D"/>
    <w:rsid w:val="00481E0A"/>
    <w:rsid w:val="00482F42"/>
    <w:rsid w:val="00483AB1"/>
    <w:rsid w:val="00483C36"/>
    <w:rsid w:val="004845EC"/>
    <w:rsid w:val="004859E5"/>
    <w:rsid w:val="004865AE"/>
    <w:rsid w:val="00492D89"/>
    <w:rsid w:val="00495E36"/>
    <w:rsid w:val="00496B11"/>
    <w:rsid w:val="004B0732"/>
    <w:rsid w:val="004B1886"/>
    <w:rsid w:val="004B62F8"/>
    <w:rsid w:val="004C4927"/>
    <w:rsid w:val="004C5A74"/>
    <w:rsid w:val="004D1893"/>
    <w:rsid w:val="004E2944"/>
    <w:rsid w:val="004E47E3"/>
    <w:rsid w:val="004E7F72"/>
    <w:rsid w:val="004F3634"/>
    <w:rsid w:val="004F4621"/>
    <w:rsid w:val="004F4B27"/>
    <w:rsid w:val="00504F05"/>
    <w:rsid w:val="00504F95"/>
    <w:rsid w:val="0050662E"/>
    <w:rsid w:val="0051712A"/>
    <w:rsid w:val="00520445"/>
    <w:rsid w:val="00522F18"/>
    <w:rsid w:val="00523971"/>
    <w:rsid w:val="00525BD6"/>
    <w:rsid w:val="005315BB"/>
    <w:rsid w:val="0053715D"/>
    <w:rsid w:val="005617A8"/>
    <w:rsid w:val="00565ECC"/>
    <w:rsid w:val="00570FEA"/>
    <w:rsid w:val="005768C6"/>
    <w:rsid w:val="00576B83"/>
    <w:rsid w:val="00583A0A"/>
    <w:rsid w:val="005857CD"/>
    <w:rsid w:val="00586FC9"/>
    <w:rsid w:val="00590EFC"/>
    <w:rsid w:val="005936A0"/>
    <w:rsid w:val="005970F5"/>
    <w:rsid w:val="005A28EC"/>
    <w:rsid w:val="005A47E4"/>
    <w:rsid w:val="005B1785"/>
    <w:rsid w:val="005B75D6"/>
    <w:rsid w:val="005B78FF"/>
    <w:rsid w:val="005C0E52"/>
    <w:rsid w:val="005C2DFB"/>
    <w:rsid w:val="005C5697"/>
    <w:rsid w:val="005C690C"/>
    <w:rsid w:val="005D4A84"/>
    <w:rsid w:val="005D6A08"/>
    <w:rsid w:val="005E1F79"/>
    <w:rsid w:val="00600D66"/>
    <w:rsid w:val="00602A70"/>
    <w:rsid w:val="00602EAF"/>
    <w:rsid w:val="00605409"/>
    <w:rsid w:val="00613EE2"/>
    <w:rsid w:val="00616DD1"/>
    <w:rsid w:val="00620EF4"/>
    <w:rsid w:val="006239B1"/>
    <w:rsid w:val="00632EE0"/>
    <w:rsid w:val="00636B16"/>
    <w:rsid w:val="006425B9"/>
    <w:rsid w:val="00643E4E"/>
    <w:rsid w:val="00661CBD"/>
    <w:rsid w:val="00676C74"/>
    <w:rsid w:val="0067771E"/>
    <w:rsid w:val="00682F9B"/>
    <w:rsid w:val="00684509"/>
    <w:rsid w:val="006A180D"/>
    <w:rsid w:val="006B113D"/>
    <w:rsid w:val="006B5B4C"/>
    <w:rsid w:val="006C511F"/>
    <w:rsid w:val="006D4921"/>
    <w:rsid w:val="006D4A43"/>
    <w:rsid w:val="006F232C"/>
    <w:rsid w:val="007058D4"/>
    <w:rsid w:val="007067E2"/>
    <w:rsid w:val="0071469C"/>
    <w:rsid w:val="00715923"/>
    <w:rsid w:val="00717577"/>
    <w:rsid w:val="0072624B"/>
    <w:rsid w:val="007320F9"/>
    <w:rsid w:val="00732481"/>
    <w:rsid w:val="007348B5"/>
    <w:rsid w:val="00736F92"/>
    <w:rsid w:val="00752C41"/>
    <w:rsid w:val="00754BEF"/>
    <w:rsid w:val="007568FF"/>
    <w:rsid w:val="0076049C"/>
    <w:rsid w:val="007623FD"/>
    <w:rsid w:val="00762632"/>
    <w:rsid w:val="0076625A"/>
    <w:rsid w:val="00771EF5"/>
    <w:rsid w:val="00796A22"/>
    <w:rsid w:val="007970A0"/>
    <w:rsid w:val="007A53CB"/>
    <w:rsid w:val="007B0711"/>
    <w:rsid w:val="007C3268"/>
    <w:rsid w:val="007E2B68"/>
    <w:rsid w:val="007E610B"/>
    <w:rsid w:val="007E7469"/>
    <w:rsid w:val="007F3D5C"/>
    <w:rsid w:val="007F5F0F"/>
    <w:rsid w:val="00800DBF"/>
    <w:rsid w:val="008047E8"/>
    <w:rsid w:val="0081016D"/>
    <w:rsid w:val="008141EC"/>
    <w:rsid w:val="00815D63"/>
    <w:rsid w:val="00825136"/>
    <w:rsid w:val="00826834"/>
    <w:rsid w:val="00836746"/>
    <w:rsid w:val="0084427B"/>
    <w:rsid w:val="00845D68"/>
    <w:rsid w:val="008612BF"/>
    <w:rsid w:val="00877022"/>
    <w:rsid w:val="00877D04"/>
    <w:rsid w:val="00886F5F"/>
    <w:rsid w:val="00892843"/>
    <w:rsid w:val="00893296"/>
    <w:rsid w:val="00893DA6"/>
    <w:rsid w:val="00896E25"/>
    <w:rsid w:val="008A18B6"/>
    <w:rsid w:val="008A701D"/>
    <w:rsid w:val="008B590F"/>
    <w:rsid w:val="008B6075"/>
    <w:rsid w:val="008C3105"/>
    <w:rsid w:val="008C5B36"/>
    <w:rsid w:val="008D524A"/>
    <w:rsid w:val="008D710A"/>
    <w:rsid w:val="008D7EC2"/>
    <w:rsid w:val="008E0F11"/>
    <w:rsid w:val="008F04D3"/>
    <w:rsid w:val="008F0FE7"/>
    <w:rsid w:val="008F4D96"/>
    <w:rsid w:val="00902809"/>
    <w:rsid w:val="00905AA3"/>
    <w:rsid w:val="00905B49"/>
    <w:rsid w:val="00906065"/>
    <w:rsid w:val="00906EF8"/>
    <w:rsid w:val="009079CC"/>
    <w:rsid w:val="00913457"/>
    <w:rsid w:val="00920D4D"/>
    <w:rsid w:val="00931715"/>
    <w:rsid w:val="00931842"/>
    <w:rsid w:val="00933F07"/>
    <w:rsid w:val="00952C94"/>
    <w:rsid w:val="0095432C"/>
    <w:rsid w:val="00962881"/>
    <w:rsid w:val="00965DC0"/>
    <w:rsid w:val="009660A8"/>
    <w:rsid w:val="009667B7"/>
    <w:rsid w:val="00967DB1"/>
    <w:rsid w:val="00976EF6"/>
    <w:rsid w:val="00976F6F"/>
    <w:rsid w:val="00991DCE"/>
    <w:rsid w:val="009A6E08"/>
    <w:rsid w:val="009B0FC7"/>
    <w:rsid w:val="009B3E87"/>
    <w:rsid w:val="009C3A8F"/>
    <w:rsid w:val="009D19A6"/>
    <w:rsid w:val="009D3553"/>
    <w:rsid w:val="009D62F8"/>
    <w:rsid w:val="009E29EB"/>
    <w:rsid w:val="009E520F"/>
    <w:rsid w:val="009E5CA3"/>
    <w:rsid w:val="009F0CDA"/>
    <w:rsid w:val="009F65AD"/>
    <w:rsid w:val="00A11AA2"/>
    <w:rsid w:val="00A142E9"/>
    <w:rsid w:val="00A214AF"/>
    <w:rsid w:val="00A22AD4"/>
    <w:rsid w:val="00A24FA8"/>
    <w:rsid w:val="00A34E91"/>
    <w:rsid w:val="00A37FAE"/>
    <w:rsid w:val="00A40F66"/>
    <w:rsid w:val="00A46E8A"/>
    <w:rsid w:val="00A5040E"/>
    <w:rsid w:val="00A55992"/>
    <w:rsid w:val="00A60A91"/>
    <w:rsid w:val="00A61EA9"/>
    <w:rsid w:val="00A621E0"/>
    <w:rsid w:val="00A65842"/>
    <w:rsid w:val="00A70CD7"/>
    <w:rsid w:val="00A721ED"/>
    <w:rsid w:val="00A77677"/>
    <w:rsid w:val="00A81988"/>
    <w:rsid w:val="00A933C8"/>
    <w:rsid w:val="00A94A26"/>
    <w:rsid w:val="00A97235"/>
    <w:rsid w:val="00AA1710"/>
    <w:rsid w:val="00AA69EE"/>
    <w:rsid w:val="00AB66D7"/>
    <w:rsid w:val="00AB7B55"/>
    <w:rsid w:val="00AC01BC"/>
    <w:rsid w:val="00AC164A"/>
    <w:rsid w:val="00AC3F15"/>
    <w:rsid w:val="00AC5757"/>
    <w:rsid w:val="00AF02C5"/>
    <w:rsid w:val="00AF6A46"/>
    <w:rsid w:val="00B000F6"/>
    <w:rsid w:val="00B04D00"/>
    <w:rsid w:val="00B05504"/>
    <w:rsid w:val="00B1312F"/>
    <w:rsid w:val="00B15D21"/>
    <w:rsid w:val="00B22D62"/>
    <w:rsid w:val="00B27C98"/>
    <w:rsid w:val="00B30481"/>
    <w:rsid w:val="00B358F7"/>
    <w:rsid w:val="00B3794C"/>
    <w:rsid w:val="00B71FEA"/>
    <w:rsid w:val="00B74F97"/>
    <w:rsid w:val="00B77FAD"/>
    <w:rsid w:val="00B834D6"/>
    <w:rsid w:val="00B90F8F"/>
    <w:rsid w:val="00B922BE"/>
    <w:rsid w:val="00B94101"/>
    <w:rsid w:val="00BA214F"/>
    <w:rsid w:val="00BA500F"/>
    <w:rsid w:val="00BA52F2"/>
    <w:rsid w:val="00BB7783"/>
    <w:rsid w:val="00BC0B51"/>
    <w:rsid w:val="00BC0B7F"/>
    <w:rsid w:val="00BC66E6"/>
    <w:rsid w:val="00BD44D6"/>
    <w:rsid w:val="00BE5535"/>
    <w:rsid w:val="00BF4878"/>
    <w:rsid w:val="00C04783"/>
    <w:rsid w:val="00C07DD5"/>
    <w:rsid w:val="00C15EDD"/>
    <w:rsid w:val="00C21E29"/>
    <w:rsid w:val="00C236E7"/>
    <w:rsid w:val="00C36C66"/>
    <w:rsid w:val="00C40D48"/>
    <w:rsid w:val="00C43341"/>
    <w:rsid w:val="00C46513"/>
    <w:rsid w:val="00C46E14"/>
    <w:rsid w:val="00C473A4"/>
    <w:rsid w:val="00C5124C"/>
    <w:rsid w:val="00C669DA"/>
    <w:rsid w:val="00C670E0"/>
    <w:rsid w:val="00C74DB8"/>
    <w:rsid w:val="00C83407"/>
    <w:rsid w:val="00C961EF"/>
    <w:rsid w:val="00CA0A76"/>
    <w:rsid w:val="00CB39A0"/>
    <w:rsid w:val="00CC5763"/>
    <w:rsid w:val="00CC61E1"/>
    <w:rsid w:val="00CD08F6"/>
    <w:rsid w:val="00CD454E"/>
    <w:rsid w:val="00CD734E"/>
    <w:rsid w:val="00CD7B65"/>
    <w:rsid w:val="00CF6F64"/>
    <w:rsid w:val="00D02D68"/>
    <w:rsid w:val="00D05F37"/>
    <w:rsid w:val="00D24497"/>
    <w:rsid w:val="00D2700B"/>
    <w:rsid w:val="00D3380E"/>
    <w:rsid w:val="00D44A22"/>
    <w:rsid w:val="00D57721"/>
    <w:rsid w:val="00D603C0"/>
    <w:rsid w:val="00D71C46"/>
    <w:rsid w:val="00D72318"/>
    <w:rsid w:val="00D7352F"/>
    <w:rsid w:val="00D74938"/>
    <w:rsid w:val="00D83D97"/>
    <w:rsid w:val="00D83F58"/>
    <w:rsid w:val="00D86A48"/>
    <w:rsid w:val="00D90F24"/>
    <w:rsid w:val="00D9484D"/>
    <w:rsid w:val="00DA073C"/>
    <w:rsid w:val="00DB6FA9"/>
    <w:rsid w:val="00DE23FC"/>
    <w:rsid w:val="00DE46DB"/>
    <w:rsid w:val="00DE7C89"/>
    <w:rsid w:val="00DF6FDE"/>
    <w:rsid w:val="00E0038A"/>
    <w:rsid w:val="00E02EE5"/>
    <w:rsid w:val="00E03EB5"/>
    <w:rsid w:val="00E0550D"/>
    <w:rsid w:val="00E338C1"/>
    <w:rsid w:val="00E415C4"/>
    <w:rsid w:val="00E430A2"/>
    <w:rsid w:val="00E46F0D"/>
    <w:rsid w:val="00E500BC"/>
    <w:rsid w:val="00E503BF"/>
    <w:rsid w:val="00E50DB8"/>
    <w:rsid w:val="00E5177F"/>
    <w:rsid w:val="00E627D5"/>
    <w:rsid w:val="00E66C55"/>
    <w:rsid w:val="00E766D7"/>
    <w:rsid w:val="00E81731"/>
    <w:rsid w:val="00E96471"/>
    <w:rsid w:val="00EB4387"/>
    <w:rsid w:val="00EC482E"/>
    <w:rsid w:val="00ED1A0B"/>
    <w:rsid w:val="00ED793E"/>
    <w:rsid w:val="00EE1EBC"/>
    <w:rsid w:val="00EE364F"/>
    <w:rsid w:val="00EF062D"/>
    <w:rsid w:val="00EF197E"/>
    <w:rsid w:val="00EF2496"/>
    <w:rsid w:val="00EF32FB"/>
    <w:rsid w:val="00EF3AB9"/>
    <w:rsid w:val="00F010A1"/>
    <w:rsid w:val="00F02844"/>
    <w:rsid w:val="00F122D5"/>
    <w:rsid w:val="00F20FD3"/>
    <w:rsid w:val="00F27F09"/>
    <w:rsid w:val="00F31E88"/>
    <w:rsid w:val="00F33605"/>
    <w:rsid w:val="00F33D2B"/>
    <w:rsid w:val="00F4228F"/>
    <w:rsid w:val="00F50D4C"/>
    <w:rsid w:val="00F54A2F"/>
    <w:rsid w:val="00F5717C"/>
    <w:rsid w:val="00F60A18"/>
    <w:rsid w:val="00F610A0"/>
    <w:rsid w:val="00F63087"/>
    <w:rsid w:val="00F65D55"/>
    <w:rsid w:val="00F75646"/>
    <w:rsid w:val="00F8133A"/>
    <w:rsid w:val="00F82E86"/>
    <w:rsid w:val="00F84F1B"/>
    <w:rsid w:val="00F94F61"/>
    <w:rsid w:val="00FC3D2A"/>
    <w:rsid w:val="00FC726F"/>
    <w:rsid w:val="00FD1316"/>
    <w:rsid w:val="00FD25FB"/>
    <w:rsid w:val="00FD48EA"/>
    <w:rsid w:val="00FE70A3"/>
    <w:rsid w:val="00FF0A89"/>
    <w:rsid w:val="3FF91AA1"/>
    <w:rsid w:val="5B8EC6B5"/>
    <w:rsid w:val="65F1A5FB"/>
    <w:rsid w:val="7FFF5A45"/>
    <w:rsid w:val="DB57C78F"/>
    <w:rsid w:val="EBB7C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1">
    <w:name w:val="批注文字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批注主题 Char"/>
    <w:basedOn w:val="11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840</Words>
  <Characters>4793</Characters>
  <Lines>39</Lines>
  <Paragraphs>11</Paragraphs>
  <TotalTime>9</TotalTime>
  <ScaleCrop>false</ScaleCrop>
  <LinksUpToDate>false</LinksUpToDate>
  <CharactersWithSpaces>5622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2022-11-03T22:32:00Z</dcterms:created>
  <dc:creator>智 杨柳</dc:creator>
  <cp:lastModifiedBy>user</cp:lastModifiedBy>
  <dcterms:modified xsi:type="dcterms:W3CDTF">2022-11-09T16:36:38Z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