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3 --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2880" w:x="4695" w:y="937"/>
        <w:widowControl w:val="0"/>
        <w:autoSpaceDE w:val="0"/>
        <w:autoSpaceDN w:val="0"/>
        <w:spacing w:line="250" w:lineRule="exact"/>
        <w:rPr>
          <w:rFonts w:ascii="BKECJV+MicrosoftYaHeiUI-Bold" w:hAnsi="Calibri"/>
          <w:b/>
          <w:color w:val="000000"/>
          <w:szCs w:val="22"/>
          <w:lang w:val="en-US" w:eastAsia="en-US" w:bidi="ar-SA"/>
        </w:rPr>
      </w:pPr>
      <w:r>
        <w:rPr>
          <w:rFonts w:ascii="BKECJV+MicrosoftYaHeiUI-Bold" w:hAnsi="BKECJV+MicrosoftYaHeiUI-Bold" w:cs="BKECJV+MicrosoftYaHeiUI-Bold"/>
          <w:b/>
          <w:color w:val="000000"/>
          <w:szCs w:val="22"/>
          <w:lang w:val="en-US" w:eastAsia="en-US" w:bidi="ar-SA"/>
        </w:rPr>
        <w:t>财政项目支出绩效自评表</w:t>
      </w:r>
    </w:p>
    <w:p>
      <w:pPr>
        <w:framePr w:w="2880" w:x="4695" w:y="937"/>
        <w:widowControl w:val="0"/>
        <w:autoSpaceDE w:val="0"/>
        <w:autoSpaceDN w:val="0"/>
        <w:spacing w:before="140" w:line="250" w:lineRule="exact"/>
        <w:ind w:left="655"/>
        <w:rPr>
          <w:rFonts w:ascii="BKECJV+MicrosoftYaHeiUI-Bold" w:hAnsi="Calibri"/>
          <w:b/>
          <w:color w:val="000000"/>
          <w:szCs w:val="22"/>
          <w:lang w:val="en-US" w:eastAsia="en-US" w:bidi="ar-SA"/>
        </w:rPr>
      </w:pPr>
      <w:r>
        <w:rPr>
          <w:rFonts w:ascii="BKECJV+MicrosoftYaHeiUI-Bold" w:hAnsi="Calibri"/>
          <w:b/>
          <w:color w:val="000000"/>
          <w:szCs w:val="22"/>
          <w:lang w:val="en-US" w:eastAsia="en-US" w:bidi="ar-SA"/>
        </w:rPr>
        <w:t>(2023</w:t>
      </w:r>
      <w:r>
        <w:rPr>
          <w:rFonts w:ascii="BKECJV+MicrosoftYaHeiUI-Bold" w:hAnsi="Calibri"/>
          <w:b/>
          <w:color w:val="000000"/>
          <w:szCs w:val="22"/>
          <w:lang w:val="en-US" w:eastAsia="en-US" w:bidi="ar-SA"/>
        </w:rPr>
        <w:t xml:space="preserve"> </w:t>
      </w:r>
      <w:r>
        <w:rPr>
          <w:rFonts w:ascii="BKECJV+MicrosoftYaHeiUI-Bold" w:hAnsi="BKECJV+MicrosoftYaHeiUI-Bold" w:cs="BKECJV+MicrosoftYaHeiUI-Bold"/>
          <w:b/>
          <w:color w:val="000000"/>
          <w:szCs w:val="22"/>
          <w:lang w:val="en-US" w:eastAsia="en-US" w:bidi="ar-SA"/>
        </w:rPr>
        <w:t>年度)</w:t>
      </w:r>
    </w:p>
    <w:p>
      <w:pPr>
        <w:framePr w:w="960" w:x="1206" w:y="1787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项目名称</w:t>
      </w:r>
    </w:p>
    <w:p>
      <w:pPr>
        <w:framePr w:w="960" w:x="1206" w:y="1787"/>
        <w:widowControl w:val="0"/>
        <w:autoSpaceDE w:val="0"/>
        <w:autoSpaceDN w:val="0"/>
        <w:spacing w:before="293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主管部门</w:t>
      </w:r>
    </w:p>
    <w:p>
      <w:pPr>
        <w:framePr w:w="1860" w:x="5924" w:y="1787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抗疫中药包专项经费</w:t>
      </w:r>
    </w:p>
    <w:p>
      <w:pPr>
        <w:framePr w:w="2400" w:x="3671" w:y="215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上海市宝山区发展和改革委</w:t>
      </w:r>
    </w:p>
    <w:p>
      <w:pPr>
        <w:framePr w:w="2400" w:x="3671" w:y="2152"/>
        <w:widowControl w:val="0"/>
        <w:autoSpaceDE w:val="0"/>
        <w:autoSpaceDN w:val="0"/>
        <w:spacing w:before="46" w:line="188" w:lineRule="exact"/>
        <w:ind w:left="90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员会</w:t>
      </w:r>
    </w:p>
    <w:p>
      <w:pPr>
        <w:framePr w:w="1680" w:x="9007" w:y="215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上海市宝山区发展</w:t>
      </w:r>
    </w:p>
    <w:p>
      <w:pPr>
        <w:framePr w:w="1680" w:x="9007" w:y="2152"/>
        <w:widowControl w:val="0"/>
        <w:autoSpaceDE w:val="0"/>
        <w:autoSpaceDN w:val="0"/>
        <w:spacing w:before="46" w:line="188" w:lineRule="exact"/>
        <w:ind w:left="18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和改革委员会</w:t>
      </w:r>
    </w:p>
    <w:p>
      <w:pPr>
        <w:framePr w:w="960" w:x="7384" w:y="2268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实施单位</w:t>
      </w:r>
    </w:p>
    <w:p>
      <w:pPr>
        <w:framePr w:w="1140" w:x="4716" w:y="27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年初预算数</w:t>
      </w:r>
    </w:p>
    <w:p>
      <w:pPr>
        <w:framePr w:w="1140" w:x="6097" w:y="27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全年预算数</w:t>
      </w:r>
    </w:p>
    <w:p>
      <w:pPr>
        <w:framePr w:w="2398" w:x="7294" w:y="27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全年执行数</w:t>
      </w:r>
      <w:r>
        <w:rPr>
          <w:rFonts w:hAnsi="Calibri"/>
          <w:color w:val="000000"/>
          <w:spacing w:val="121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分值</w:t>
      </w:r>
      <w:r>
        <w:rPr>
          <w:rFonts w:hAnsi="Calibri"/>
          <w:color w:val="000000"/>
          <w:spacing w:val="146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执行率</w:t>
      </w:r>
    </w:p>
    <w:p>
      <w:pPr>
        <w:framePr w:w="600" w:x="10189" w:y="27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600" w:x="10189" w:y="2749"/>
        <w:widowControl w:val="0"/>
        <w:autoSpaceDE w:val="0"/>
        <w:autoSpaceDN w:val="0"/>
        <w:spacing w:before="292" w:line="188" w:lineRule="exact"/>
        <w:ind w:left="74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</w:t>
      </w:r>
    </w:p>
    <w:p>
      <w:pPr>
        <w:framePr w:w="2170" w:x="2293" w:y="322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年度资金总额</w:t>
      </w:r>
    </w:p>
    <w:p>
      <w:pPr>
        <w:framePr w:w="2170" w:x="2293" w:y="3229"/>
        <w:widowControl w:val="0"/>
        <w:autoSpaceDE w:val="0"/>
        <w:autoSpaceDN w:val="0"/>
        <w:spacing w:before="292" w:line="188" w:lineRule="exact"/>
        <w:ind w:left="212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其中：当年财政拨款</w:t>
      </w:r>
    </w:p>
    <w:p>
      <w:pPr>
        <w:framePr w:w="2170" w:x="2293" w:y="3229"/>
        <w:widowControl w:val="0"/>
        <w:autoSpaceDE w:val="0"/>
        <w:autoSpaceDN w:val="0"/>
        <w:spacing w:before="292" w:line="188" w:lineRule="exact"/>
        <w:ind w:left="85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上年结转资金</w:t>
      </w:r>
    </w:p>
    <w:p>
      <w:pPr>
        <w:framePr w:w="2170" w:x="2293" w:y="3229"/>
        <w:widowControl w:val="0"/>
        <w:autoSpaceDE w:val="0"/>
        <w:autoSpaceDN w:val="0"/>
        <w:spacing w:before="292" w:line="188" w:lineRule="exact"/>
        <w:ind w:left="85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其他资金</w:t>
      </w:r>
    </w:p>
    <w:p>
      <w:pPr>
        <w:framePr w:w="5213" w:x="4574" w:y="322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52,013,000.00</w:t>
      </w:r>
      <w:r>
        <w:rPr>
          <w:rFonts w:hAnsi="Calibri"/>
          <w:color w:val="000000"/>
          <w:spacing w:val="151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52,013,000.00</w:t>
      </w:r>
      <w:r>
        <w:rPr>
          <w:rFonts w:hAnsi="Calibri"/>
          <w:color w:val="000000"/>
          <w:spacing w:val="95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52,013,000</w:t>
      </w:r>
      <w:r>
        <w:rPr>
          <w:rFonts w:hAnsi="Calibri"/>
          <w:color w:val="000000"/>
          <w:spacing w:val="181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</w:t>
      </w:r>
      <w:r>
        <w:rPr>
          <w:rFonts w:hAnsi="Calibri"/>
          <w:color w:val="000000"/>
          <w:spacing w:val="126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100.00%</w:t>
      </w:r>
    </w:p>
    <w:p>
      <w:pPr>
        <w:framePr w:w="960" w:x="1206" w:y="359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项目资金</w:t>
      </w:r>
    </w:p>
    <w:p>
      <w:pPr>
        <w:framePr w:w="960" w:x="1206" w:y="3592"/>
        <w:widowControl w:val="0"/>
        <w:autoSpaceDE w:val="0"/>
        <w:autoSpaceDN w:val="0"/>
        <w:spacing w:before="46" w:line="188" w:lineRule="exact"/>
        <w:ind w:left="9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（元）</w:t>
      </w:r>
    </w:p>
    <w:p>
      <w:pPr>
        <w:framePr w:w="600" w:x="4986" w:y="37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600" w:x="4986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600" w:x="4986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600" w:x="6367" w:y="37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600" w:x="6367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600" w:x="6367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0.00</w:t>
      </w:r>
    </w:p>
    <w:p>
      <w:pPr>
        <w:framePr w:w="434" w:x="8443" w:y="37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—</w:t>
      </w:r>
    </w:p>
    <w:p>
      <w:pPr>
        <w:framePr w:w="434" w:x="8443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—</w:t>
      </w:r>
    </w:p>
    <w:p>
      <w:pPr>
        <w:framePr w:w="434" w:x="8443" w:y="3709"/>
        <w:widowControl w:val="0"/>
        <w:autoSpaceDE w:val="0"/>
        <w:autoSpaceDN w:val="0"/>
        <w:spacing w:before="292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—</w:t>
      </w:r>
    </w:p>
    <w:p>
      <w:pPr>
        <w:framePr w:w="3157" w:x="876" w:y="5155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年度</w:t>
      </w:r>
    </w:p>
    <w:p>
      <w:pPr>
        <w:framePr w:w="3157" w:x="876" w:y="5155"/>
        <w:widowControl w:val="0"/>
        <w:autoSpaceDE w:val="0"/>
        <w:autoSpaceDN w:val="0"/>
        <w:spacing w:before="46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总体</w:t>
      </w:r>
    </w:p>
    <w:p>
      <w:pPr>
        <w:framePr w:w="3157" w:x="876" w:y="5155"/>
        <w:widowControl w:val="0"/>
        <w:autoSpaceDE w:val="0"/>
        <w:autoSpaceDN w:val="0"/>
        <w:spacing w:before="46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目标</w:t>
      </w:r>
      <w:r>
        <w:rPr>
          <w:rFonts w:hAnsi="Calibri"/>
          <w:color w:val="000000"/>
          <w:spacing w:val="-8"/>
          <w:sz w:val="18"/>
          <w:szCs w:val="22"/>
          <w:lang w:val="en-US" w:eastAsia="en-US" w:bidi="ar-SA"/>
        </w:rPr>
        <w:t xml:space="preserve"> </w:t>
      </w: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中药包发放及时，群众满意度高</w:t>
      </w:r>
    </w:p>
    <w:p>
      <w:pPr>
        <w:framePr w:w="960" w:x="3881" w:y="51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预期目标</w:t>
      </w:r>
    </w:p>
    <w:p>
      <w:pPr>
        <w:framePr w:w="1320" w:x="8660" w:y="514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实际完成情况</w:t>
      </w:r>
    </w:p>
    <w:p>
      <w:pPr>
        <w:framePr w:w="2760" w:x="7224" w:y="562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中药包发放及时，群众满意度高</w:t>
      </w:r>
    </w:p>
    <w:p>
      <w:pPr>
        <w:framePr w:w="2760" w:x="7224" w:y="5629"/>
        <w:widowControl w:val="0"/>
        <w:autoSpaceDE w:val="0"/>
        <w:autoSpaceDN w:val="0"/>
        <w:spacing w:before="177" w:line="188" w:lineRule="exact"/>
        <w:ind w:left="34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实际</w:t>
      </w:r>
    </w:p>
    <w:p>
      <w:pPr>
        <w:framePr w:w="600" w:x="6367" w:y="5993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年度</w:t>
      </w:r>
    </w:p>
    <w:p>
      <w:pPr>
        <w:framePr w:w="1500" w:x="9739" w:y="5993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偏差原因分析及</w:t>
      </w:r>
    </w:p>
    <w:p>
      <w:pPr>
        <w:framePr w:w="1500" w:x="9739" w:y="5993"/>
        <w:widowControl w:val="0"/>
        <w:autoSpaceDE w:val="0"/>
        <w:autoSpaceDN w:val="0"/>
        <w:spacing w:before="46" w:line="188" w:lineRule="exact"/>
        <w:ind w:left="27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改进措施</w:t>
      </w:r>
    </w:p>
    <w:p>
      <w:pPr>
        <w:framePr w:w="960" w:x="1415" w:y="61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一级指标</w:t>
      </w:r>
    </w:p>
    <w:p>
      <w:pPr>
        <w:framePr w:w="960" w:x="3010" w:y="61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二级指标</w:t>
      </w:r>
    </w:p>
    <w:p>
      <w:pPr>
        <w:framePr w:w="960" w:x="3010" w:y="6109"/>
        <w:widowControl w:val="0"/>
        <w:autoSpaceDE w:val="0"/>
        <w:autoSpaceDN w:val="0"/>
        <w:spacing w:before="527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数量指标</w:t>
      </w:r>
    </w:p>
    <w:p>
      <w:pPr>
        <w:framePr w:w="960" w:x="4806" w:y="61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三级指标</w:t>
      </w:r>
    </w:p>
    <w:p>
      <w:pPr>
        <w:framePr w:w="600" w:x="8360" w:y="61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分值</w:t>
      </w:r>
    </w:p>
    <w:p>
      <w:pPr>
        <w:framePr w:w="600" w:x="9002" w:y="6109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780" w:x="6277" w:y="6226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指标值</w:t>
      </w:r>
    </w:p>
    <w:p>
      <w:pPr>
        <w:framePr w:w="780" w:x="7474" w:y="6226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完成值</w:t>
      </w:r>
    </w:p>
    <w:p>
      <w:pPr>
        <w:framePr w:w="690" w:x="6322" w:y="6824"/>
        <w:widowControl w:val="0"/>
        <w:autoSpaceDE w:val="0"/>
        <w:autoSpaceDN w:val="0"/>
        <w:spacing w:line="188" w:lineRule="exact"/>
        <w:ind w:left="106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=1</w:t>
      </w:r>
    </w:p>
    <w:p>
      <w:pPr>
        <w:framePr w:w="690" w:x="6322" w:y="6824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=100</w:t>
      </w:r>
    </w:p>
    <w:p>
      <w:pPr>
        <w:framePr w:w="690" w:x="6322" w:y="6824"/>
        <w:widowControl w:val="0"/>
        <w:autoSpaceDE w:val="0"/>
        <w:autoSpaceDN w:val="0"/>
        <w:spacing w:before="760" w:line="188" w:lineRule="exact"/>
        <w:ind w:left="45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有效</w:t>
      </w:r>
    </w:p>
    <w:p>
      <w:pPr>
        <w:framePr w:w="690" w:x="6322" w:y="6824"/>
        <w:widowControl w:val="0"/>
        <w:autoSpaceDE w:val="0"/>
        <w:autoSpaceDN w:val="0"/>
        <w:spacing w:before="760" w:line="188" w:lineRule="exact"/>
        <w:ind w:left="45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有效</w:t>
      </w:r>
    </w:p>
    <w:p>
      <w:pPr>
        <w:framePr w:w="690" w:x="6322" w:y="6824"/>
        <w:widowControl w:val="0"/>
        <w:autoSpaceDE w:val="0"/>
        <w:autoSpaceDN w:val="0"/>
        <w:spacing w:before="760" w:line="188" w:lineRule="exact"/>
        <w:ind w:left="45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满意</w:t>
      </w:r>
    </w:p>
    <w:p>
      <w:pPr>
        <w:framePr w:w="346" w:x="7691" w:y="6824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</w:t>
      </w:r>
    </w:p>
    <w:p>
      <w:pPr>
        <w:framePr w:w="451" w:x="8435" w:y="6824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20</w:t>
      </w:r>
    </w:p>
    <w:p>
      <w:pPr>
        <w:framePr w:w="451" w:x="9076" w:y="6824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20</w:t>
      </w:r>
    </w:p>
    <w:p>
      <w:pPr>
        <w:framePr w:w="1500" w:x="4536" w:y="6941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中药抗疫包发放</w:t>
      </w:r>
    </w:p>
    <w:p>
      <w:pPr>
        <w:framePr w:w="960" w:x="1415" w:y="777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产出指标</w:t>
      </w:r>
    </w:p>
    <w:p>
      <w:pPr>
        <w:framePr w:w="960" w:x="3010" w:y="777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质量指标</w:t>
      </w:r>
    </w:p>
    <w:p>
      <w:pPr>
        <w:framePr w:w="960" w:x="3010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时效指标</w:t>
      </w:r>
    </w:p>
    <w:p>
      <w:pPr>
        <w:framePr w:w="600" w:x="7564" w:y="7772"/>
        <w:widowControl w:val="0"/>
        <w:autoSpaceDE w:val="0"/>
        <w:autoSpaceDN w:val="0"/>
        <w:spacing w:line="188" w:lineRule="exact"/>
        <w:ind w:left="22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100</w:t>
      </w:r>
    </w:p>
    <w:p>
      <w:pPr>
        <w:framePr w:w="600" w:x="7564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有效</w:t>
      </w:r>
    </w:p>
    <w:p>
      <w:pPr>
        <w:framePr w:w="600" w:x="7564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有效</w:t>
      </w:r>
    </w:p>
    <w:p>
      <w:pPr>
        <w:framePr w:w="600" w:x="7564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满意</w:t>
      </w:r>
    </w:p>
    <w:p>
      <w:pPr>
        <w:framePr w:w="451" w:x="8435" w:y="777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20</w:t>
      </w:r>
    </w:p>
    <w:p>
      <w:pPr>
        <w:framePr w:w="451" w:x="8435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</w:t>
      </w:r>
    </w:p>
    <w:p>
      <w:pPr>
        <w:framePr w:w="451" w:x="8435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30</w:t>
      </w:r>
    </w:p>
    <w:p>
      <w:pPr>
        <w:framePr w:w="451" w:x="9076" w:y="7772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20</w:t>
      </w:r>
    </w:p>
    <w:p>
      <w:pPr>
        <w:framePr w:w="451" w:x="9076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</w:t>
      </w:r>
    </w:p>
    <w:p>
      <w:pPr>
        <w:framePr w:w="451" w:x="9076" w:y="7772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30</w:t>
      </w:r>
    </w:p>
    <w:p>
      <w:pPr>
        <w:framePr w:w="1500" w:x="4536" w:y="7889"/>
        <w:widowControl w:val="0"/>
        <w:autoSpaceDE w:val="0"/>
        <w:autoSpaceDN w:val="0"/>
        <w:spacing w:line="188" w:lineRule="exact"/>
        <w:ind w:left="18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预算执行率</w:t>
      </w:r>
    </w:p>
    <w:p>
      <w:pPr>
        <w:framePr w:w="1500" w:x="4536" w:y="7889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财务监控有效性</w:t>
      </w:r>
    </w:p>
    <w:p>
      <w:pPr>
        <w:framePr w:w="1500" w:x="4536" w:y="7889"/>
        <w:widowControl w:val="0"/>
        <w:autoSpaceDE w:val="0"/>
        <w:autoSpaceDN w:val="0"/>
        <w:spacing w:before="760" w:line="188" w:lineRule="exact"/>
        <w:ind w:left="9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防疫服务群众</w:t>
      </w:r>
    </w:p>
    <w:p>
      <w:pPr>
        <w:framePr w:w="1500" w:x="4536" w:y="7889"/>
        <w:widowControl w:val="0"/>
        <w:autoSpaceDE w:val="0"/>
        <w:autoSpaceDN w:val="0"/>
        <w:spacing w:before="760" w:line="188" w:lineRule="exact"/>
        <w:ind w:left="18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群众满意度</w:t>
      </w:r>
    </w:p>
    <w:p>
      <w:pPr>
        <w:framePr w:w="420" w:x="966" w:y="8130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绩</w:t>
      </w:r>
    </w:p>
    <w:p>
      <w:pPr>
        <w:framePr w:w="420" w:x="966" w:y="8130"/>
        <w:widowControl w:val="0"/>
        <w:autoSpaceDE w:val="0"/>
        <w:autoSpaceDN w:val="0"/>
        <w:spacing w:before="46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效</w:t>
      </w:r>
    </w:p>
    <w:p>
      <w:pPr>
        <w:framePr w:w="420" w:x="966" w:y="8130"/>
        <w:widowControl w:val="0"/>
        <w:autoSpaceDE w:val="0"/>
        <w:autoSpaceDN w:val="0"/>
        <w:spacing w:before="46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指</w:t>
      </w:r>
    </w:p>
    <w:p>
      <w:pPr>
        <w:framePr w:w="420" w:x="966" w:y="8130"/>
        <w:widowControl w:val="0"/>
        <w:autoSpaceDE w:val="0"/>
        <w:autoSpaceDN w:val="0"/>
        <w:spacing w:before="46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标</w:t>
      </w:r>
    </w:p>
    <w:p>
      <w:pPr>
        <w:framePr w:w="960" w:x="1415" w:y="9668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效益指标</w:t>
      </w:r>
    </w:p>
    <w:p>
      <w:pPr>
        <w:framePr w:w="1860" w:x="2560" w:y="9668"/>
        <w:widowControl w:val="0"/>
        <w:autoSpaceDE w:val="0"/>
        <w:autoSpaceDN w:val="0"/>
        <w:spacing w:line="188" w:lineRule="exact"/>
        <w:ind w:left="27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社会效益指标</w:t>
      </w:r>
    </w:p>
    <w:p>
      <w:pPr>
        <w:framePr w:w="1860" w:x="2560" w:y="9668"/>
        <w:widowControl w:val="0"/>
        <w:autoSpaceDE w:val="0"/>
        <w:autoSpaceDN w:val="0"/>
        <w:spacing w:before="760"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服务对象满意度指标</w:t>
      </w:r>
    </w:p>
    <w:p>
      <w:pPr>
        <w:framePr w:w="1680" w:x="9649" w:y="10500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群众满意度可进一</w:t>
      </w:r>
    </w:p>
    <w:p>
      <w:pPr>
        <w:framePr w:w="1680" w:x="9649" w:y="10500"/>
        <w:widowControl w:val="0"/>
        <w:autoSpaceDE w:val="0"/>
        <w:autoSpaceDN w:val="0"/>
        <w:spacing w:before="46" w:line="188" w:lineRule="exact"/>
        <w:ind w:left="450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步提高</w:t>
      </w:r>
    </w:p>
    <w:p>
      <w:pPr>
        <w:framePr w:w="1140" w:x="1325" w:y="10616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满意度指标</w:t>
      </w:r>
    </w:p>
    <w:p>
      <w:pPr>
        <w:framePr w:w="451" w:x="8435" w:y="10616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</w:t>
      </w:r>
    </w:p>
    <w:p>
      <w:pPr>
        <w:framePr w:w="346" w:x="9129" w:y="10616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8</w:t>
      </w:r>
    </w:p>
    <w:p>
      <w:pPr>
        <w:framePr w:w="600" w:x="4379" w:y="11323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SCUION+MicrosoftYaHeiUI" w:cs="SCUION+MicrosoftYaHeiUI"/>
          <w:color w:val="000000"/>
          <w:sz w:val="18"/>
          <w:szCs w:val="22"/>
          <w:lang w:val="en-US" w:eastAsia="en-US" w:bidi="ar-SA"/>
        </w:rPr>
        <w:t>总分</w:t>
      </w:r>
    </w:p>
    <w:p>
      <w:pPr>
        <w:framePr w:w="557" w:x="8382" w:y="11323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100</w:t>
      </w:r>
    </w:p>
    <w:p>
      <w:pPr>
        <w:framePr w:w="451" w:x="9076" w:y="11323"/>
        <w:widowControl w:val="0"/>
        <w:autoSpaceDE w:val="0"/>
        <w:autoSpaceDN w:val="0"/>
        <w:spacing w:line="188" w:lineRule="exact"/>
        <w:rPr>
          <w:rFonts w:hAnsi="Calibri"/>
          <w:color w:val="000000"/>
          <w:sz w:val="18"/>
          <w:szCs w:val="22"/>
          <w:lang w:val="en-US" w:eastAsia="en-US" w:bidi="ar-SA"/>
        </w:rPr>
      </w:pPr>
      <w:r>
        <w:rPr>
          <w:rFonts w:ascii="SCUION+MicrosoftYaHeiUI" w:hAnsi="Calibri"/>
          <w:color w:val="000000"/>
          <w:sz w:val="18"/>
          <w:szCs w:val="22"/>
          <w:lang w:val="en-US" w:eastAsia="en-US" w:bidi="ar-SA"/>
        </w:rPr>
        <w:t>98</w:t>
      </w:r>
    </w:p>
    <w:p>
      <w:pPr>
        <w:framePr w:w="667" w:x="5787" w:y="15223"/>
        <w:widowControl w:val="0"/>
        <w:autoSpaceDE w:val="0"/>
        <w:autoSpaceDN w:val="0"/>
        <w:spacing w:line="268" w:lineRule="exact"/>
        <w:rPr>
          <w:rFonts w:ascii="Arial" w:hAnsi="Calibri"/>
          <w:color w:val="000000"/>
          <w:szCs w:val="22"/>
          <w:lang w:val="en-US" w:eastAsia="en-US" w:bidi="ar-SA"/>
        </w:rPr>
      </w:pPr>
      <w:r>
        <w:rPr>
          <w:rFonts w:ascii="Arial" w:hAnsi="Calibri"/>
          <w:color w:val="000000"/>
          <w:szCs w:val="22"/>
          <w:lang w:val="en-US" w:eastAsia="en-US" w:bidi="ar-SA"/>
        </w:rPr>
        <w:t>-</w:t>
      </w:r>
      <w:r>
        <w:rPr>
          <w:rFonts w:ascii="Arial"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Arial" w:hAnsi="Calibri"/>
          <w:color w:val="000000"/>
          <w:szCs w:val="22"/>
          <w:lang w:val="en-US" w:eastAsia="en-US" w:bidi="ar-SA"/>
        </w:rPr>
        <w:t>1</w:t>
      </w:r>
      <w:r>
        <w:rPr>
          <w:rFonts w:ascii="Arial" w:hAnsi="Calibri"/>
          <w:color w:val="000000"/>
          <w:szCs w:val="22"/>
          <w:lang w:val="en-US" w:eastAsia="en-US" w:bidi="ar-SA"/>
        </w:rPr>
        <w:t xml:space="preserve"> </w:t>
      </w:r>
      <w:r>
        <w:rPr>
          <w:rFonts w:ascii="Arial" w:hAnsi="Calibri"/>
          <w:color w:val="000000"/>
          <w:szCs w:val="22"/>
          <w:lang w:val="en-US" w:eastAsia="en-US" w:bidi="ar-SA"/>
        </w:rPr>
        <w:t>-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519.5pt;height:542.15pt;margin-top:41pt;margin-left:41pt;mso-position-horizontal-relative:page;mso-position-vertical-relative:page;position:absolute;z-index:-251658240">
            <v:imagedata r:id="rId4" o:title=""/>
          </v:shape>
        </w:pict>
      </w:r>
    </w:p>
    <w:sectPr>
      <w:pgSz w:w="12240" w:h="15840"/>
      <w:pgMar w:top="0" w:right="0" w:bottom="0" w:left="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1" w:csb1="01010101"/>
  </w:font>
  <w:font w:name="BKECJV+MicrosoftYaHeiUI-Bold">
    <w:panose1 w:val="02000500000000000000"/>
    <w:charset w:val="01"/>
    <w:family w:val="auto"/>
    <w:pitch w:val="variable"/>
    <w:sig w:usb0="01010101" w:usb1="01010101" w:usb2="01010101" w:usb3="01010101" w:csb0="01010101" w:csb1="01010101"/>
  </w:font>
  <w:font w:name="SCUION+MicrosoftYaHeiUI">
    <w:panose1 w:val="02000500000000000000"/>
    <w:charset w:val="01"/>
    <w:family w:val="auto"/>
    <w:pitch w:val="variable"/>
    <w:sig w:usb0="01010101" w:usb1="01010101" w:usb2="01010101" w:usb3="01010101" w:csb0="01010101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