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33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9"/>
        <w:gridCol w:w="1028"/>
        <w:gridCol w:w="2184"/>
        <w:gridCol w:w="2039"/>
        <w:gridCol w:w="1028"/>
        <w:gridCol w:w="1028"/>
        <w:gridCol w:w="541"/>
        <w:gridCol w:w="614"/>
        <w:gridCol w:w="14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82" w:hRule="atLeast"/>
        </w:trPr>
        <w:tc>
          <w:tcPr>
            <w:tcW w:w="10335" w:type="dxa"/>
            <w:gridSpan w:val="9"/>
            <w:vAlign w:val="top"/>
          </w:tcPr>
          <w:p>
            <w:pPr>
              <w:spacing w:before="78" w:line="171" w:lineRule="auto"/>
              <w:ind w:left="3843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1"/>
                <w:sz w:val="24"/>
                <w:szCs w:val="24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335" w:type="dxa"/>
            <w:gridSpan w:val="9"/>
            <w:vAlign w:val="top"/>
          </w:tcPr>
          <w:p>
            <w:pPr>
              <w:spacing w:before="71" w:line="171" w:lineRule="auto"/>
              <w:ind w:left="4514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Align w:val="top"/>
          </w:tcPr>
          <w:p>
            <w:pPr>
              <w:spacing w:before="143" w:line="183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项目名称</w:t>
            </w:r>
          </w:p>
        </w:tc>
        <w:tc>
          <w:tcPr>
            <w:tcW w:w="8878" w:type="dxa"/>
            <w:gridSpan w:val="7"/>
            <w:vAlign w:val="top"/>
          </w:tcPr>
          <w:p>
            <w:pPr>
              <w:spacing w:before="144" w:line="182" w:lineRule="auto"/>
              <w:ind w:left="397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金融办专项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457" w:type="dxa"/>
            <w:gridSpan w:val="2"/>
            <w:vAlign w:val="top"/>
          </w:tcPr>
          <w:p>
            <w:pPr>
              <w:spacing w:before="144" w:line="183" w:lineRule="auto"/>
              <w:ind w:left="3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主管部门</w:t>
            </w:r>
          </w:p>
        </w:tc>
        <w:tc>
          <w:tcPr>
            <w:tcW w:w="5251" w:type="dxa"/>
            <w:gridSpan w:val="3"/>
            <w:vAlign w:val="top"/>
          </w:tcPr>
          <w:p>
            <w:pPr>
              <w:spacing w:before="28" w:line="184" w:lineRule="auto"/>
              <w:ind w:left="154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上海市宝山区发展和改革委</w:t>
            </w:r>
          </w:p>
          <w:p>
            <w:pPr>
              <w:spacing w:line="191" w:lineRule="exact"/>
              <w:ind w:left="243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员会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1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实施单位</w:t>
            </w:r>
          </w:p>
        </w:tc>
        <w:tc>
          <w:tcPr>
            <w:tcW w:w="2599" w:type="dxa"/>
            <w:gridSpan w:val="3"/>
            <w:vAlign w:val="top"/>
          </w:tcPr>
          <w:p>
            <w:pPr>
              <w:spacing w:before="28" w:line="182" w:lineRule="auto"/>
              <w:ind w:left="57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上海市宝山区发展</w:t>
            </w:r>
          </w:p>
          <w:p>
            <w:pPr>
              <w:spacing w:line="193" w:lineRule="exact"/>
              <w:ind w:left="75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301" w:lineRule="auto"/>
            </w:pPr>
          </w:p>
          <w:p>
            <w:pPr>
              <w:pStyle w:val="5"/>
              <w:spacing w:line="301" w:lineRule="auto"/>
            </w:pPr>
          </w:p>
          <w:p>
            <w:pPr>
              <w:pStyle w:val="5"/>
              <w:spacing w:line="302" w:lineRule="auto"/>
            </w:pPr>
          </w:p>
          <w:p>
            <w:pPr>
              <w:spacing w:before="78" w:line="192" w:lineRule="auto"/>
              <w:ind w:left="3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项目资金</w:t>
            </w:r>
          </w:p>
          <w:p>
            <w:pPr>
              <w:spacing w:before="1" w:line="172" w:lineRule="auto"/>
              <w:ind w:left="43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11"/>
                <w:sz w:val="18"/>
                <w:szCs w:val="18"/>
              </w:rPr>
              <w:t>（元）</w:t>
            </w:r>
          </w:p>
        </w:tc>
        <w:tc>
          <w:tcPr>
            <w:tcW w:w="2184" w:type="dxa"/>
            <w:vAlign w:val="top"/>
          </w:tcPr>
          <w:p>
            <w:pPr>
              <w:pStyle w:val="5"/>
            </w:pPr>
          </w:p>
        </w:tc>
        <w:tc>
          <w:tcPr>
            <w:tcW w:w="2039" w:type="dxa"/>
            <w:vAlign w:val="top"/>
          </w:tcPr>
          <w:p>
            <w:pPr>
              <w:spacing w:before="144" w:line="183" w:lineRule="auto"/>
              <w:ind w:left="56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年初预算数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5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全年预算数</w:t>
            </w:r>
          </w:p>
        </w:tc>
        <w:tc>
          <w:tcPr>
            <w:tcW w:w="1028" w:type="dxa"/>
            <w:vAlign w:val="top"/>
          </w:tcPr>
          <w:p>
            <w:pPr>
              <w:spacing w:before="144" w:line="183" w:lineRule="auto"/>
              <w:ind w:left="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全年执行数</w:t>
            </w:r>
          </w:p>
        </w:tc>
        <w:tc>
          <w:tcPr>
            <w:tcW w:w="541" w:type="dxa"/>
            <w:vAlign w:val="top"/>
          </w:tcPr>
          <w:p>
            <w:pPr>
              <w:spacing w:before="144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vAlign w:val="top"/>
          </w:tcPr>
          <w:p>
            <w:pPr>
              <w:spacing w:before="144" w:line="183" w:lineRule="auto"/>
              <w:ind w:left="3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执行率</w:t>
            </w:r>
          </w:p>
        </w:tc>
        <w:tc>
          <w:tcPr>
            <w:tcW w:w="1444" w:type="dxa"/>
            <w:vAlign w:val="top"/>
          </w:tcPr>
          <w:p>
            <w:pPr>
              <w:spacing w:before="144" w:line="183" w:lineRule="auto"/>
              <w:ind w:left="53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4" w:line="184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年度资金总额</w:t>
            </w:r>
          </w:p>
        </w:tc>
        <w:tc>
          <w:tcPr>
            <w:tcW w:w="2039" w:type="dxa"/>
            <w:vAlign w:val="top"/>
          </w:tcPr>
          <w:p>
            <w:pPr>
              <w:spacing w:before="158" w:line="173" w:lineRule="auto"/>
              <w:ind w:left="68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322,000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322,000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322,000</w:t>
            </w:r>
          </w:p>
        </w:tc>
        <w:tc>
          <w:tcPr>
            <w:tcW w:w="541" w:type="dxa"/>
            <w:vAlign w:val="top"/>
          </w:tcPr>
          <w:p>
            <w:pPr>
              <w:spacing w:before="157" w:line="174" w:lineRule="auto"/>
              <w:ind w:left="18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vAlign w:val="top"/>
          </w:tcPr>
          <w:p>
            <w:pPr>
              <w:spacing w:before="158" w:line="173" w:lineRule="auto"/>
              <w:ind w:left="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%</w:t>
            </w:r>
          </w:p>
        </w:tc>
        <w:tc>
          <w:tcPr>
            <w:tcW w:w="1444" w:type="dxa"/>
            <w:vAlign w:val="top"/>
          </w:tcPr>
          <w:p>
            <w:pPr>
              <w:pStyle w:val="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3" w:lineRule="auto"/>
              <w:ind w:left="20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其中：当年财政拨款</w:t>
            </w:r>
          </w:p>
        </w:tc>
        <w:tc>
          <w:tcPr>
            <w:tcW w:w="2039" w:type="dxa"/>
            <w:vAlign w:val="top"/>
          </w:tcPr>
          <w:p>
            <w:pPr>
              <w:spacing w:before="159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8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5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4" w:lineRule="auto"/>
              <w:ind w:left="84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上年结转资金</w:t>
            </w:r>
          </w:p>
        </w:tc>
        <w:tc>
          <w:tcPr>
            <w:tcW w:w="2039" w:type="dxa"/>
            <w:vAlign w:val="top"/>
          </w:tcPr>
          <w:p>
            <w:pPr>
              <w:spacing w:before="160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9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457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spacing w:before="146" w:line="184" w:lineRule="auto"/>
              <w:ind w:left="84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其他资金</w:t>
            </w:r>
          </w:p>
        </w:tc>
        <w:tc>
          <w:tcPr>
            <w:tcW w:w="2039" w:type="dxa"/>
            <w:vAlign w:val="top"/>
          </w:tcPr>
          <w:p>
            <w:pPr>
              <w:spacing w:before="160" w:line="173" w:lineRule="auto"/>
              <w:ind w:left="83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0.00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Align w:val="top"/>
          </w:tcPr>
          <w:p>
            <w:pPr>
              <w:pStyle w:val="5"/>
            </w:pPr>
          </w:p>
        </w:tc>
        <w:tc>
          <w:tcPr>
            <w:tcW w:w="541" w:type="dxa"/>
            <w:vAlign w:val="top"/>
          </w:tcPr>
          <w:p>
            <w:pPr>
              <w:spacing w:before="239" w:line="144" w:lineRule="exact"/>
              <w:ind w:left="16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position w:val="-1"/>
                <w:sz w:val="18"/>
                <w:szCs w:val="18"/>
              </w:rPr>
              <w:t>—</w:t>
            </w:r>
          </w:p>
        </w:tc>
        <w:tc>
          <w:tcPr>
            <w:tcW w:w="614" w:type="dxa"/>
            <w:vAlign w:val="top"/>
          </w:tcPr>
          <w:p>
            <w:pPr>
              <w:pStyle w:val="5"/>
            </w:pP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429" w:type="dxa"/>
            <w:vMerge w:val="restart"/>
            <w:tcBorders>
              <w:bottom w:val="nil"/>
              <w:right w:val="single" w:color="000000" w:sz="4" w:space="0"/>
            </w:tcBorders>
            <w:vAlign w:val="top"/>
          </w:tcPr>
          <w:p>
            <w:pPr>
              <w:spacing w:before="154" w:line="182" w:lineRule="auto"/>
              <w:ind w:left="25" w:right="33" w:firstLine="1"/>
              <w:jc w:val="both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年度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总体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目标</w:t>
            </w:r>
          </w:p>
        </w:tc>
        <w:tc>
          <w:tcPr>
            <w:tcW w:w="6279" w:type="dxa"/>
            <w:gridSpan w:val="4"/>
            <w:tcBorders>
              <w:left w:val="single" w:color="000000" w:sz="4" w:space="0"/>
            </w:tcBorders>
            <w:vAlign w:val="top"/>
          </w:tcPr>
          <w:p>
            <w:pPr>
              <w:spacing w:before="148" w:line="182" w:lineRule="auto"/>
              <w:ind w:left="27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预期目标</w:t>
            </w:r>
          </w:p>
        </w:tc>
        <w:tc>
          <w:tcPr>
            <w:tcW w:w="3627" w:type="dxa"/>
            <w:gridSpan w:val="4"/>
            <w:vAlign w:val="top"/>
          </w:tcPr>
          <w:p>
            <w:pPr>
              <w:spacing w:before="147" w:line="183" w:lineRule="auto"/>
              <w:ind w:left="127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429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6279" w:type="dxa"/>
            <w:gridSpan w:val="4"/>
            <w:tcBorders>
              <w:left w:val="single" w:color="000000" w:sz="4" w:space="0"/>
              <w:bottom w:val="single" w:color="000000" w:sz="4" w:space="0"/>
            </w:tcBorders>
            <w:vAlign w:val="top"/>
          </w:tcPr>
          <w:p>
            <w:pPr>
              <w:spacing w:before="31" w:line="182" w:lineRule="auto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依托会所和律所的专业性对区内地方金融组</w:t>
            </w: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织开展针对性</w:t>
            </w:r>
          </w:p>
          <w:p>
            <w:pPr>
              <w:spacing w:line="190" w:lineRule="exact"/>
              <w:ind w:left="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专项检查。</w:t>
            </w:r>
          </w:p>
        </w:tc>
        <w:tc>
          <w:tcPr>
            <w:tcW w:w="3627" w:type="dxa"/>
            <w:gridSpan w:val="4"/>
            <w:tcBorders>
              <w:bottom w:val="single" w:color="000000" w:sz="4" w:space="0"/>
            </w:tcBorders>
            <w:vAlign w:val="top"/>
          </w:tcPr>
          <w:p>
            <w:pPr>
              <w:spacing w:before="31" w:line="182" w:lineRule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已按照年度目标</w:t>
            </w: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开展</w:t>
            </w:r>
            <w:r>
              <w:rPr>
                <w:rFonts w:hint="eastAsia"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相关专项</w:t>
            </w: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检查。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29" w:type="dxa"/>
            <w:vMerge w:val="restart"/>
            <w:tcBorders>
              <w:top w:val="single" w:color="000000" w:sz="4" w:space="0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spacing w:before="123" w:line="180" w:lineRule="auto"/>
              <w:ind w:left="38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绩 效 指</w:t>
            </w:r>
            <w:r>
              <w:rPr>
                <w:rFonts w:ascii="微软雅黑" w:hAnsi="微软雅黑" w:eastAsia="微软雅黑" w:cs="微软雅黑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标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</w:tcBorders>
            <w:vAlign w:val="top"/>
          </w:tcPr>
          <w:p>
            <w:pPr>
              <w:spacing w:before="155" w:line="182" w:lineRule="auto"/>
              <w:ind w:left="1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一级指标</w:t>
            </w:r>
          </w:p>
        </w:tc>
        <w:tc>
          <w:tcPr>
            <w:tcW w:w="2184" w:type="dxa"/>
            <w:tcBorders>
              <w:top w:val="single" w:color="000000" w:sz="4" w:space="0"/>
            </w:tcBorders>
            <w:vAlign w:val="top"/>
          </w:tcPr>
          <w:p>
            <w:pPr>
              <w:spacing w:before="155" w:line="182" w:lineRule="auto"/>
              <w:ind w:left="72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二级指标</w:t>
            </w:r>
          </w:p>
        </w:tc>
        <w:tc>
          <w:tcPr>
            <w:tcW w:w="2039" w:type="dxa"/>
            <w:tcBorders>
              <w:top w:val="single" w:color="000000" w:sz="4" w:space="0"/>
            </w:tcBorders>
            <w:vAlign w:val="top"/>
          </w:tcPr>
          <w:p>
            <w:pPr>
              <w:spacing w:before="155" w:line="182" w:lineRule="auto"/>
              <w:ind w:left="655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三级指标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spacing w:before="36" w:line="183" w:lineRule="auto"/>
              <w:ind w:left="33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年度</w:t>
            </w:r>
          </w:p>
          <w:p>
            <w:pPr>
              <w:spacing w:line="189" w:lineRule="exact"/>
              <w:ind w:left="24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指标值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spacing w:before="38" w:line="181" w:lineRule="auto"/>
              <w:ind w:left="33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实际</w:t>
            </w:r>
          </w:p>
          <w:p>
            <w:pPr>
              <w:spacing w:line="190" w:lineRule="exact"/>
              <w:ind w:left="24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-1"/>
                <w:sz w:val="18"/>
                <w:szCs w:val="18"/>
              </w:rPr>
              <w:t>完成值</w:t>
            </w:r>
          </w:p>
        </w:tc>
        <w:tc>
          <w:tcPr>
            <w:tcW w:w="541" w:type="dxa"/>
            <w:tcBorders>
              <w:top w:val="single" w:color="000000" w:sz="4" w:space="0"/>
            </w:tcBorders>
            <w:vAlign w:val="top"/>
          </w:tcPr>
          <w:p>
            <w:pPr>
              <w:spacing w:before="153" w:line="183" w:lineRule="auto"/>
              <w:ind w:left="88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分值</w:t>
            </w:r>
          </w:p>
        </w:tc>
        <w:tc>
          <w:tcPr>
            <w:tcW w:w="614" w:type="dxa"/>
            <w:tcBorders>
              <w:top w:val="single" w:color="000000" w:sz="4" w:space="0"/>
            </w:tcBorders>
            <w:vAlign w:val="top"/>
          </w:tcPr>
          <w:p>
            <w:pPr>
              <w:spacing w:before="153" w:line="183" w:lineRule="auto"/>
              <w:ind w:left="126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得分</w:t>
            </w:r>
          </w:p>
        </w:tc>
        <w:tc>
          <w:tcPr>
            <w:tcW w:w="1444" w:type="dxa"/>
            <w:tcBorders>
              <w:top w:val="single" w:color="000000" w:sz="4" w:space="0"/>
            </w:tcBorders>
            <w:vAlign w:val="top"/>
          </w:tcPr>
          <w:p>
            <w:pPr>
              <w:spacing w:before="36" w:line="165" w:lineRule="auto"/>
              <w:ind w:left="363" w:right="81" w:hanging="27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偏差原因分析及</w:t>
            </w:r>
            <w:r>
              <w:rPr>
                <w:rFonts w:ascii="微软雅黑" w:hAnsi="微软雅黑" w:eastAsia="微软雅黑" w:cs="微软雅黑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pStyle w:val="5"/>
              <w:spacing w:line="243" w:lineRule="auto"/>
            </w:pPr>
          </w:p>
          <w:p>
            <w:pPr>
              <w:spacing w:before="77" w:line="183" w:lineRule="auto"/>
              <w:ind w:left="14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产出指标</w:t>
            </w:r>
          </w:p>
        </w:tc>
        <w:tc>
          <w:tcPr>
            <w:tcW w:w="2184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spacing w:line="304" w:lineRule="auto"/>
            </w:pPr>
          </w:p>
          <w:p>
            <w:pPr>
              <w:spacing w:before="78" w:line="182" w:lineRule="auto"/>
              <w:ind w:left="72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数量指标</w:t>
            </w:r>
          </w:p>
        </w:tc>
        <w:tc>
          <w:tcPr>
            <w:tcW w:w="2039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spacing w:line="421" w:lineRule="auto"/>
            </w:pPr>
          </w:p>
          <w:p>
            <w:pPr>
              <w:spacing w:before="77" w:line="182" w:lineRule="auto"/>
              <w:ind w:left="29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检查金融机构数量</w:t>
            </w:r>
          </w:p>
        </w:tc>
        <w:tc>
          <w:tcPr>
            <w:tcW w:w="1028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spacing w:line="302" w:lineRule="auto"/>
            </w:pPr>
          </w:p>
          <w:p>
            <w:pPr>
              <w:spacing w:before="77" w:line="184" w:lineRule="auto"/>
              <w:ind w:left="20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&gt;=10家</w:t>
            </w:r>
          </w:p>
        </w:tc>
        <w:tc>
          <w:tcPr>
            <w:tcW w:w="1028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14</w:t>
            </w:r>
          </w:p>
        </w:tc>
        <w:tc>
          <w:tcPr>
            <w:tcW w:w="541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14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1444" w:type="dxa"/>
            <w:tcBorders>
              <w:bottom w:val="single" w:color="000000" w:sz="4" w:space="0"/>
            </w:tcBorders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spacing w:line="310" w:lineRule="auto"/>
            </w:pPr>
          </w:p>
          <w:p>
            <w:pPr>
              <w:spacing w:before="78" w:line="182" w:lineRule="auto"/>
              <w:ind w:left="72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质量指标</w:t>
            </w:r>
          </w:p>
        </w:tc>
        <w:tc>
          <w:tcPr>
            <w:tcW w:w="2039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spacing w:line="425" w:lineRule="auto"/>
            </w:pPr>
          </w:p>
          <w:p>
            <w:pPr>
              <w:spacing w:before="78" w:line="183" w:lineRule="auto"/>
              <w:ind w:left="38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机构检查覆盖面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spacing w:line="322" w:lineRule="auto"/>
            </w:pPr>
          </w:p>
          <w:p>
            <w:pPr>
              <w:spacing w:before="77" w:line="173" w:lineRule="auto"/>
              <w:ind w:left="21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&gt;=80%</w:t>
            </w:r>
          </w:p>
        </w:tc>
        <w:tc>
          <w:tcPr>
            <w:tcW w:w="1028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4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%</w:t>
            </w:r>
          </w:p>
        </w:tc>
        <w:tc>
          <w:tcPr>
            <w:tcW w:w="541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14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1444" w:type="dxa"/>
            <w:tcBorders>
              <w:top w:val="single" w:color="000000" w:sz="4" w:space="0"/>
            </w:tcBorders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Merge w:val="restart"/>
            <w:tcBorders>
              <w:bottom w:val="nil"/>
            </w:tcBorders>
            <w:vAlign w:val="top"/>
          </w:tcPr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49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pStyle w:val="5"/>
              <w:spacing w:line="250" w:lineRule="auto"/>
            </w:pPr>
          </w:p>
          <w:p>
            <w:pPr>
              <w:spacing w:before="77" w:line="183" w:lineRule="auto"/>
              <w:ind w:left="729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时效指标</w:t>
            </w:r>
          </w:p>
        </w:tc>
        <w:tc>
          <w:tcPr>
            <w:tcW w:w="2039" w:type="dxa"/>
            <w:vAlign w:val="top"/>
          </w:tcPr>
          <w:p>
            <w:pPr>
              <w:pStyle w:val="5"/>
              <w:spacing w:line="423" w:lineRule="auto"/>
            </w:pPr>
          </w:p>
          <w:p>
            <w:pPr>
              <w:spacing w:before="77" w:line="182" w:lineRule="auto"/>
              <w:ind w:left="38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机构检查及时性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spacing w:line="306" w:lineRule="auto"/>
            </w:pPr>
          </w:p>
          <w:p>
            <w:pPr>
              <w:spacing w:before="77" w:line="182" w:lineRule="auto"/>
              <w:ind w:left="33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及时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及时</w:t>
            </w:r>
          </w:p>
        </w:tc>
        <w:tc>
          <w:tcPr>
            <w:tcW w:w="541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039" w:type="dxa"/>
            <w:vAlign w:val="top"/>
          </w:tcPr>
          <w:p>
            <w:pPr>
              <w:pStyle w:val="5"/>
              <w:spacing w:line="422" w:lineRule="auto"/>
            </w:pPr>
          </w:p>
          <w:p>
            <w:pPr>
              <w:spacing w:before="77" w:line="183" w:lineRule="auto"/>
              <w:ind w:left="38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政策宣传及时性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spacing w:line="307" w:lineRule="auto"/>
            </w:pPr>
          </w:p>
          <w:p>
            <w:pPr>
              <w:spacing w:before="78" w:line="182" w:lineRule="auto"/>
              <w:ind w:left="33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及时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及时</w:t>
            </w:r>
          </w:p>
        </w:tc>
        <w:tc>
          <w:tcPr>
            <w:tcW w:w="541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Merge w:val="continue"/>
            <w:tcBorders>
              <w:top w:val="nil"/>
            </w:tcBorders>
            <w:vAlign w:val="top"/>
          </w:tcPr>
          <w:p>
            <w:pPr>
              <w:pStyle w:val="5"/>
            </w:pPr>
          </w:p>
        </w:tc>
        <w:tc>
          <w:tcPr>
            <w:tcW w:w="2039" w:type="dxa"/>
            <w:vAlign w:val="top"/>
          </w:tcPr>
          <w:p>
            <w:pPr>
              <w:pStyle w:val="5"/>
              <w:spacing w:line="423" w:lineRule="auto"/>
            </w:pPr>
          </w:p>
          <w:p>
            <w:pPr>
              <w:spacing w:before="78" w:line="183" w:lineRule="auto"/>
              <w:ind w:left="38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信息公示及时性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spacing w:line="308" w:lineRule="auto"/>
            </w:pPr>
          </w:p>
          <w:p>
            <w:pPr>
              <w:spacing w:before="78" w:line="182" w:lineRule="auto"/>
              <w:ind w:left="33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及时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及时</w:t>
            </w:r>
          </w:p>
        </w:tc>
        <w:tc>
          <w:tcPr>
            <w:tcW w:w="541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restart"/>
            <w:tcBorders>
              <w:left w:val="single" w:color="000000" w:sz="4" w:space="0"/>
              <w:bottom w:val="nil"/>
            </w:tcBorders>
            <w:vAlign w:val="top"/>
          </w:tcPr>
          <w:p>
            <w:pPr>
              <w:pStyle w:val="5"/>
              <w:spacing w:line="252" w:lineRule="auto"/>
            </w:pPr>
          </w:p>
          <w:p>
            <w:pPr>
              <w:pStyle w:val="5"/>
              <w:spacing w:line="253" w:lineRule="auto"/>
            </w:pPr>
          </w:p>
          <w:p>
            <w:pPr>
              <w:pStyle w:val="5"/>
              <w:spacing w:line="253" w:lineRule="auto"/>
            </w:pPr>
          </w:p>
          <w:p>
            <w:pPr>
              <w:pStyle w:val="5"/>
              <w:spacing w:line="253" w:lineRule="auto"/>
            </w:pPr>
          </w:p>
          <w:p>
            <w:pPr>
              <w:spacing w:before="77" w:line="183" w:lineRule="auto"/>
              <w:ind w:left="1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效益指标</w:t>
            </w:r>
          </w:p>
        </w:tc>
        <w:tc>
          <w:tcPr>
            <w:tcW w:w="2184" w:type="dxa"/>
            <w:vAlign w:val="top"/>
          </w:tcPr>
          <w:p>
            <w:pPr>
              <w:pStyle w:val="5"/>
              <w:spacing w:line="424" w:lineRule="auto"/>
            </w:pPr>
          </w:p>
          <w:p>
            <w:pPr>
              <w:spacing w:before="78" w:line="183" w:lineRule="auto"/>
              <w:ind w:left="54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社会效益指标</w:t>
            </w:r>
          </w:p>
        </w:tc>
        <w:tc>
          <w:tcPr>
            <w:tcW w:w="2039" w:type="dxa"/>
            <w:vAlign w:val="top"/>
          </w:tcPr>
          <w:p>
            <w:pPr>
              <w:pStyle w:val="5"/>
              <w:spacing w:line="423" w:lineRule="auto"/>
            </w:pPr>
          </w:p>
          <w:p>
            <w:pPr>
              <w:spacing w:before="77" w:line="184" w:lineRule="auto"/>
              <w:ind w:left="11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企业融资环境得到改善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spacing w:line="424" w:lineRule="auto"/>
            </w:pPr>
          </w:p>
          <w:p>
            <w:pPr>
              <w:spacing w:before="78" w:line="183" w:lineRule="auto"/>
              <w:ind w:left="33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改善</w:t>
            </w:r>
          </w:p>
        </w:tc>
        <w:tc>
          <w:tcPr>
            <w:tcW w:w="1028" w:type="dxa"/>
            <w:vAlign w:val="top"/>
          </w:tcPr>
          <w:p>
            <w:pPr>
              <w:pStyle w:val="5"/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改善</w:t>
            </w:r>
          </w:p>
        </w:tc>
        <w:tc>
          <w:tcPr>
            <w:tcW w:w="541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7" w:hRule="atLeast"/>
        </w:trPr>
        <w:tc>
          <w:tcPr>
            <w:tcW w:w="429" w:type="dxa"/>
            <w:vMerge w:val="continue"/>
            <w:tcBorders>
              <w:top w:val="nil"/>
              <w:bottom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vMerge w:val="continue"/>
            <w:tcBorders>
              <w:top w:val="nil"/>
              <w:left w:val="single" w:color="000000" w:sz="4" w:space="0"/>
            </w:tcBorders>
            <w:vAlign w:val="top"/>
          </w:tcPr>
          <w:p>
            <w:pPr>
              <w:pStyle w:val="5"/>
            </w:pPr>
          </w:p>
        </w:tc>
        <w:tc>
          <w:tcPr>
            <w:tcW w:w="2184" w:type="dxa"/>
            <w:vAlign w:val="top"/>
          </w:tcPr>
          <w:p>
            <w:pPr>
              <w:pStyle w:val="5"/>
              <w:spacing w:line="427" w:lineRule="auto"/>
            </w:pPr>
          </w:p>
          <w:p>
            <w:pPr>
              <w:spacing w:before="77" w:line="182" w:lineRule="auto"/>
              <w:ind w:left="45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可持续影响指标</w:t>
            </w:r>
          </w:p>
        </w:tc>
        <w:tc>
          <w:tcPr>
            <w:tcW w:w="2039" w:type="dxa"/>
            <w:vAlign w:val="top"/>
          </w:tcPr>
          <w:p>
            <w:pPr>
              <w:pStyle w:val="5"/>
              <w:spacing w:line="426" w:lineRule="auto"/>
            </w:pPr>
          </w:p>
          <w:p>
            <w:pPr>
              <w:spacing w:before="77" w:line="183" w:lineRule="auto"/>
              <w:ind w:left="11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政企信息沟通是否顺畅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spacing w:line="426" w:lineRule="auto"/>
            </w:pPr>
          </w:p>
          <w:p>
            <w:pPr>
              <w:spacing w:before="77" w:line="183" w:lineRule="auto"/>
              <w:ind w:left="34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良好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rPr>
                <w:rFonts w:hint="eastAsia" w:eastAsia="宋体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4"/>
                <w:sz w:val="18"/>
                <w:szCs w:val="18"/>
                <w:lang w:eastAsia="zh-CN"/>
              </w:rPr>
              <w:t>较好</w:t>
            </w:r>
          </w:p>
        </w:tc>
        <w:tc>
          <w:tcPr>
            <w:tcW w:w="541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eastAsia="宋体"/>
                <w:lang w:val="en-US" w:eastAsia="zh-CN"/>
              </w:rPr>
              <w:t>8</w:t>
            </w:r>
          </w:p>
        </w:tc>
        <w:tc>
          <w:tcPr>
            <w:tcW w:w="1444" w:type="dxa"/>
            <w:vAlign w:val="top"/>
          </w:tcPr>
          <w:p>
            <w:pPr>
              <w:pStyle w:val="5"/>
              <w:rPr>
                <w:rFonts w:hint="eastAsia" w:eastAsia="宋体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napToGrid w:val="0"/>
                <w:color w:val="000000"/>
                <w:spacing w:val="-1"/>
                <w:kern w:val="0"/>
                <w:sz w:val="18"/>
                <w:szCs w:val="18"/>
                <w:lang w:val="en-US" w:eastAsia="zh-CN" w:bidi="ar-SA"/>
              </w:rPr>
              <w:t>政企沟通存在时滞。之后将做好计划安排，增加面对面沟通频次，提高信息传达效率。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29" w:type="dxa"/>
            <w:vMerge w:val="continue"/>
            <w:tcBorders>
              <w:top w:val="nil"/>
              <w:right w:val="single" w:color="000000" w:sz="4" w:space="0"/>
            </w:tcBorders>
            <w:textDirection w:val="tbRlV"/>
            <w:vAlign w:val="top"/>
          </w:tcPr>
          <w:p>
            <w:pPr>
              <w:pStyle w:val="5"/>
            </w:pPr>
          </w:p>
        </w:tc>
        <w:tc>
          <w:tcPr>
            <w:tcW w:w="1028" w:type="dxa"/>
            <w:tcBorders>
              <w:left w:val="single" w:color="000000" w:sz="4" w:space="0"/>
            </w:tcBorders>
            <w:vAlign w:val="top"/>
          </w:tcPr>
          <w:p>
            <w:pPr>
              <w:pStyle w:val="5"/>
              <w:spacing w:line="309" w:lineRule="auto"/>
            </w:pPr>
          </w:p>
          <w:p>
            <w:pPr>
              <w:spacing w:before="77" w:line="184" w:lineRule="auto"/>
              <w:ind w:left="53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满意度指标</w:t>
            </w:r>
          </w:p>
        </w:tc>
        <w:tc>
          <w:tcPr>
            <w:tcW w:w="2184" w:type="dxa"/>
            <w:vAlign w:val="top"/>
          </w:tcPr>
          <w:p>
            <w:pPr>
              <w:pStyle w:val="5"/>
              <w:spacing w:line="309" w:lineRule="auto"/>
            </w:pPr>
          </w:p>
          <w:p>
            <w:pPr>
              <w:spacing w:before="77" w:line="184" w:lineRule="auto"/>
              <w:ind w:left="272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服务对象满意度指标</w:t>
            </w:r>
          </w:p>
        </w:tc>
        <w:tc>
          <w:tcPr>
            <w:tcW w:w="2039" w:type="dxa"/>
            <w:vAlign w:val="top"/>
          </w:tcPr>
          <w:p>
            <w:pPr>
              <w:pStyle w:val="5"/>
              <w:spacing w:line="425" w:lineRule="auto"/>
            </w:pPr>
          </w:p>
          <w:p>
            <w:pPr>
              <w:spacing w:before="78" w:line="184" w:lineRule="auto"/>
              <w:ind w:left="561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企业满意度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spacing w:line="323" w:lineRule="auto"/>
            </w:pPr>
          </w:p>
          <w:p>
            <w:pPr>
              <w:spacing w:before="78" w:line="173" w:lineRule="auto"/>
              <w:ind w:left="21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&gt;=80%</w:t>
            </w:r>
          </w:p>
        </w:tc>
        <w:tc>
          <w:tcPr>
            <w:tcW w:w="1028" w:type="dxa"/>
            <w:vAlign w:val="top"/>
          </w:tcPr>
          <w:p>
            <w:pPr>
              <w:pStyle w:val="5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4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0%</w:t>
            </w:r>
          </w:p>
        </w:tc>
        <w:tc>
          <w:tcPr>
            <w:tcW w:w="541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7736" w:type="dxa"/>
            <w:gridSpan w:val="6"/>
            <w:vAlign w:val="top"/>
          </w:tcPr>
          <w:p>
            <w:pPr>
              <w:spacing w:before="149" w:line="183" w:lineRule="auto"/>
              <w:ind w:left="3684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总分</w:t>
            </w:r>
          </w:p>
        </w:tc>
        <w:tc>
          <w:tcPr>
            <w:tcW w:w="541" w:type="dxa"/>
            <w:vAlign w:val="top"/>
          </w:tcPr>
          <w:p>
            <w:pPr>
              <w:spacing w:before="161" w:line="174" w:lineRule="auto"/>
              <w:ind w:left="127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100</w:t>
            </w:r>
          </w:p>
        </w:tc>
        <w:tc>
          <w:tcPr>
            <w:tcW w:w="614" w:type="dxa"/>
            <w:vAlign w:val="top"/>
          </w:tcPr>
          <w:p>
            <w:pPr>
              <w:pStyle w:val="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444" w:type="dxa"/>
            <w:vAlign w:val="top"/>
          </w:tcPr>
          <w:p>
            <w:pPr>
              <w:pStyle w:val="5"/>
            </w:pPr>
          </w:p>
        </w:tc>
      </w:tr>
    </w:tbl>
    <w:p>
      <w:pPr>
        <w:spacing w:line="242" w:lineRule="auto"/>
        <w:rPr>
          <w:rFonts w:ascii="Arial"/>
          <w:sz w:val="21"/>
        </w:rPr>
      </w:pPr>
    </w:p>
    <w:p>
      <w:pPr>
        <w:spacing w:before="69" w:line="194" w:lineRule="auto"/>
        <w:ind w:left="4954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pacing w:val="-12"/>
          <w:sz w:val="24"/>
          <w:szCs w:val="24"/>
        </w:rPr>
        <w:t>-</w:t>
      </w:r>
      <w:r>
        <w:rPr>
          <w:rFonts w:ascii="Arial" w:hAnsi="Arial" w:eastAsia="Arial" w:cs="Arial"/>
          <w:spacing w:val="27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1</w:t>
      </w:r>
      <w:r>
        <w:rPr>
          <w:rFonts w:ascii="Arial" w:hAnsi="Arial" w:eastAsia="Arial" w:cs="Arial"/>
          <w:spacing w:val="8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2"/>
          <w:sz w:val="24"/>
          <w:szCs w:val="24"/>
        </w:rPr>
        <w:t>-</w:t>
      </w:r>
    </w:p>
    <w:sectPr>
      <w:pgSz w:w="12240" w:h="15840"/>
      <w:pgMar w:top="840" w:right="1050" w:bottom="0" w:left="84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Y2NDk4OTUyM2Y4NDI4NGUyN2Y5ZTFiYmFiOGUwMzYifQ=="/>
  </w:docVars>
  <w:rsids>
    <w:rsidRoot w:val="00000000"/>
    <w:rsid w:val="03136371"/>
    <w:rsid w:val="05EB1F48"/>
    <w:rsid w:val="07B45DB2"/>
    <w:rsid w:val="0B1F1A87"/>
    <w:rsid w:val="1191177D"/>
    <w:rsid w:val="2DDD7D20"/>
    <w:rsid w:val="32500F9C"/>
    <w:rsid w:val="49FD08C9"/>
    <w:rsid w:val="4D9529E2"/>
    <w:rsid w:val="4E8372E0"/>
    <w:rsid w:val="51A7350D"/>
    <w:rsid w:val="5AB12F14"/>
    <w:rsid w:val="5C0D3538"/>
    <w:rsid w:val="63D24121"/>
    <w:rsid w:val="77F52E2D"/>
    <w:rsid w:val="794A52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12</TotalTime>
  <ScaleCrop>false</ScaleCrop>
  <LinksUpToDate>false</LinksUpToDate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2024-02-19T13:18:00Z</dcterms:created>
  <dc:creator>Administrator</dc:creator>
  <cp:lastModifiedBy>✨小婷✨</cp:lastModifiedBy>
  <dcterms:modified xsi:type="dcterms:W3CDTF">2024-02-23T02:18:46Z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2024-02-19T13:45:32Z</vt:filetime>
  </property>
  <property fmtid="{D5CDD505-2E9C-101B-9397-08002B2CF9AE}" pid="4" name="KSOProductBuildVer">
    <vt:lpwstr>2052-12.1.0.16388</vt:lpwstr>
  </property>
  <property fmtid="{D5CDD505-2E9C-101B-9397-08002B2CF9AE}" pid="5" name="ICV">
    <vt:lpwstr>8400E4F9C9E14852A1F7F70C78917A0C_12</vt:lpwstr>
  </property>
</Properties>
</file>