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5776">
      <w:pPr>
        <w:rPr>
          <w:rFonts w:hint="default" w:ascii="Times New Roman" w:hAnsi="Times New Roman" w:cs="Times New Roman"/>
        </w:rPr>
      </w:pPr>
    </w:p>
    <w:p w14:paraId="64F8F535">
      <w:pPr>
        <w:keepNext w:val="0"/>
        <w:keepLines w:val="0"/>
        <w:pageBreakBefore w:val="0"/>
        <w:widowControl w:val="0"/>
        <w:kinsoku/>
        <w:wordWrap/>
        <w:overflowPunct/>
        <w:topLinePunct w:val="0"/>
        <w:autoSpaceDE w:val="0"/>
        <w:autoSpaceDN w:val="0"/>
        <w:bidi w:val="0"/>
        <w:spacing w:line="560" w:lineRule="exact"/>
        <w:jc w:val="center"/>
        <w:rPr>
          <w:rFonts w:hint="default" w:ascii="Times New Roman" w:hAnsi="Times New Roman" w:eastAsia="华文中宋" w:cs="Times New Roman"/>
          <w:b/>
          <w:color w:val="000000"/>
          <w:sz w:val="44"/>
          <w:szCs w:val="44"/>
        </w:rPr>
      </w:pPr>
    </w:p>
    <w:p w14:paraId="054A4BEE">
      <w:pPr>
        <w:keepNext w:val="0"/>
        <w:keepLines w:val="0"/>
        <w:pageBreakBefore w:val="0"/>
        <w:widowControl w:val="0"/>
        <w:kinsoku/>
        <w:wordWrap/>
        <w:overflowPunct/>
        <w:topLinePunct w:val="0"/>
        <w:autoSpaceDE w:val="0"/>
        <w:autoSpaceDN w:val="0"/>
        <w:bidi w:val="0"/>
        <w:spacing w:line="560" w:lineRule="exact"/>
        <w:jc w:val="center"/>
        <w:rPr>
          <w:rFonts w:hint="default" w:ascii="Times New Roman" w:hAnsi="Times New Roman" w:eastAsia="华文中宋" w:cs="Times New Roman"/>
          <w:b/>
          <w:color w:val="000000"/>
          <w:sz w:val="44"/>
          <w:szCs w:val="44"/>
        </w:rPr>
      </w:pPr>
    </w:p>
    <w:p w14:paraId="4641479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华文中宋" w:cs="Times New Roman"/>
          <w:b/>
          <w:color w:val="000000"/>
          <w:sz w:val="52"/>
          <w:szCs w:val="52"/>
        </w:rPr>
      </w:pPr>
      <w:r>
        <w:rPr>
          <w:rFonts w:hint="default" w:ascii="Times New Roman" w:hAnsi="Times New Roman" w:eastAsia="华文中宋" w:cs="Times New Roman"/>
          <w:b/>
          <w:color w:val="000000"/>
          <w:sz w:val="52"/>
          <w:szCs w:val="52"/>
          <w:lang w:eastAsia="zh-CN"/>
        </w:rPr>
        <w:t>上海市宝山区</w:t>
      </w:r>
      <w:r>
        <w:rPr>
          <w:rFonts w:hint="default" w:ascii="Times New Roman" w:hAnsi="Times New Roman" w:eastAsia="华文中宋" w:cs="Times New Roman"/>
          <w:b/>
          <w:color w:val="000000"/>
          <w:sz w:val="52"/>
          <w:szCs w:val="52"/>
        </w:rPr>
        <w:t>罗店镇国民经济和</w:t>
      </w:r>
    </w:p>
    <w:p w14:paraId="1B09BC4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华文中宋" w:cs="Times New Roman"/>
          <w:b/>
          <w:color w:val="000000"/>
          <w:sz w:val="52"/>
          <w:szCs w:val="52"/>
          <w:lang w:eastAsia="zh-CN"/>
        </w:rPr>
      </w:pPr>
      <w:r>
        <w:rPr>
          <w:rFonts w:hint="default" w:ascii="Times New Roman" w:hAnsi="Times New Roman" w:eastAsia="华文中宋" w:cs="Times New Roman"/>
          <w:b/>
          <w:color w:val="000000"/>
          <w:sz w:val="52"/>
          <w:szCs w:val="52"/>
        </w:rPr>
        <w:t>社会发展第十五个五年规划纲要</w:t>
      </w:r>
    </w:p>
    <w:p w14:paraId="698E213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Times New Roman" w:hAnsi="Times New Roman" w:eastAsia="仿宋_GB2312" w:cs="Times New Roman"/>
          <w:b w:val="0"/>
          <w:bCs/>
          <w:color w:val="000000"/>
          <w:sz w:val="32"/>
          <w:szCs w:val="32"/>
          <w:lang w:eastAsia="zh-CN"/>
        </w:rPr>
      </w:pPr>
    </w:p>
    <w:p w14:paraId="1C60DD6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Times New Roman" w:hAnsi="Times New Roman" w:eastAsia="仿宋_GB2312" w:cs="Times New Roman"/>
          <w:b w:val="0"/>
          <w:bCs/>
          <w:color w:val="000000"/>
          <w:sz w:val="32"/>
          <w:szCs w:val="32"/>
          <w:lang w:eastAsia="zh-CN"/>
        </w:rPr>
      </w:pPr>
      <w:r>
        <w:rPr>
          <w:rFonts w:hint="eastAsia" w:ascii="Times New Roman" w:hAnsi="Times New Roman" w:eastAsia="仿宋_GB2312" w:cs="Times New Roman"/>
          <w:b w:val="0"/>
          <w:bCs/>
          <w:color w:val="000000"/>
          <w:sz w:val="32"/>
          <w:szCs w:val="32"/>
          <w:lang w:eastAsia="zh-CN"/>
        </w:rPr>
        <w:t>2025年12月26日宝山区罗店镇第六届</w:t>
      </w:r>
    </w:p>
    <w:p w14:paraId="45D7C7D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仿宋_GB2312" w:cs="Times New Roman"/>
          <w:b w:val="0"/>
          <w:bCs/>
          <w:color w:val="000000"/>
          <w:sz w:val="32"/>
          <w:szCs w:val="32"/>
          <w:lang w:eastAsia="zh-CN"/>
        </w:rPr>
      </w:pPr>
      <w:r>
        <w:rPr>
          <w:rFonts w:hint="eastAsia" w:ascii="Times New Roman" w:hAnsi="Times New Roman" w:eastAsia="仿宋_GB2312" w:cs="Times New Roman"/>
          <w:b w:val="0"/>
          <w:bCs/>
          <w:color w:val="000000"/>
          <w:sz w:val="32"/>
          <w:szCs w:val="32"/>
          <w:lang w:eastAsia="zh-CN"/>
        </w:rPr>
        <w:t>人民代表大会第十次会议批准</w:t>
      </w:r>
    </w:p>
    <w:p w14:paraId="682DE68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黑体" w:cs="Times New Roman"/>
          <w:color w:val="000000"/>
          <w:sz w:val="32"/>
          <w:szCs w:val="32"/>
        </w:rPr>
      </w:pPr>
    </w:p>
    <w:p w14:paraId="7EBBA7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46ABB6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5232E68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5E9E923E">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6C9FAA2A">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48A7E0EB">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3FEB7B7E">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2A563F7C">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2535CB55">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000000"/>
          <w:sz w:val="32"/>
          <w:szCs w:val="32"/>
        </w:rPr>
      </w:pPr>
    </w:p>
    <w:p w14:paraId="26AA1F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324F8B4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632A170F">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上海市宝山区罗店镇人民政府</w:t>
      </w:r>
    </w:p>
    <w:p w14:paraId="63680C1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华文中宋" w:cs="Times New Roman"/>
          <w:b/>
          <w:bCs/>
          <w:sz w:val="44"/>
          <w:szCs w:val="44"/>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val="0"/>
          <w:bCs/>
          <w:color w:val="000000"/>
          <w:sz w:val="32"/>
          <w:szCs w:val="32"/>
          <w:lang w:val="en-US" w:eastAsia="zh-CN"/>
        </w:rPr>
        <w:t>202</w:t>
      </w:r>
      <w:r>
        <w:rPr>
          <w:rFonts w:hint="eastAsia" w:ascii="Times New Roman" w:hAnsi="Times New Roman"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lang w:eastAsia="zh-CN"/>
        </w:rPr>
        <w:t>年</w:t>
      </w:r>
      <w:r>
        <w:rPr>
          <w:rFonts w:hint="eastAsia" w:ascii="Times New Roman" w:hAnsi="Times New Roman" w:eastAsia="仿宋_GB2312" w:cs="Times New Roman"/>
          <w:b w:val="0"/>
          <w:bCs/>
          <w:color w:val="000000"/>
          <w:sz w:val="32"/>
          <w:szCs w:val="32"/>
          <w:lang w:val="en-US" w:eastAsia="zh-CN"/>
        </w:rPr>
        <w:t>1</w:t>
      </w:r>
      <w:r>
        <w:rPr>
          <w:rFonts w:hint="default" w:ascii="Times New Roman" w:hAnsi="Times New Roman" w:eastAsia="仿宋_GB2312" w:cs="Times New Roman"/>
          <w:b w:val="0"/>
          <w:bCs/>
          <w:color w:val="000000"/>
          <w:sz w:val="32"/>
          <w:szCs w:val="32"/>
          <w:lang w:eastAsia="zh-CN"/>
        </w:rPr>
        <w:t>月</w:t>
      </w:r>
    </w:p>
    <w:p w14:paraId="52963B8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华文中宋" w:cs="Times New Roman"/>
          <w:b/>
          <w:bCs/>
          <w:sz w:val="44"/>
          <w:szCs w:val="44"/>
        </w:rPr>
      </w:pPr>
      <w:bookmarkStart w:id="0" w:name="_Toc8887"/>
      <w:bookmarkStart w:id="1" w:name="_Toc30674"/>
      <w:r>
        <w:rPr>
          <w:rFonts w:hint="default" w:ascii="Times New Roman" w:hAnsi="Times New Roman" w:eastAsia="华文中宋" w:cs="Times New Roman"/>
          <w:b/>
          <w:bCs/>
          <w:sz w:val="44"/>
          <w:szCs w:val="44"/>
        </w:rPr>
        <w:t>前言</w:t>
      </w:r>
      <w:bookmarkEnd w:id="0"/>
      <w:bookmarkEnd w:id="1"/>
    </w:p>
    <w:p w14:paraId="18BF1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3BF8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“十四五”以来，全镇上下在习近平新时代中国特色社会主义思想的指引下，紧紧围绕中央精神、市委要求和区委部署，在镇党委、政府的坚强领导下，</w:t>
      </w:r>
      <w:r>
        <w:rPr>
          <w:rFonts w:hint="default" w:ascii="Times New Roman" w:hAnsi="Times New Roman" w:eastAsia="仿宋_GB2312" w:cs="Times New Roman"/>
          <w:sz w:val="32"/>
          <w:szCs w:val="32"/>
          <w:lang w:eastAsia="zh-CN"/>
        </w:rPr>
        <w:t>阶段性</w:t>
      </w:r>
      <w:r>
        <w:rPr>
          <w:rFonts w:hint="default" w:ascii="Times New Roman" w:hAnsi="Times New Roman" w:eastAsia="仿宋_GB2312" w:cs="Times New Roman"/>
          <w:sz w:val="32"/>
          <w:szCs w:val="32"/>
        </w:rPr>
        <w:t>规划目标和主要任务基本完成</w:t>
      </w:r>
      <w:r>
        <w:rPr>
          <w:rFonts w:hint="default" w:ascii="Times New Roman" w:hAnsi="Times New Roman" w:eastAsia="仿宋_GB2312" w:cs="Times New Roman"/>
          <w:sz w:val="32"/>
          <w:szCs w:val="32"/>
          <w:lang w:eastAsia="zh-CN"/>
        </w:rPr>
        <w:t>。回顾过往五年，</w:t>
      </w:r>
      <w:r>
        <w:rPr>
          <w:rFonts w:hint="default" w:ascii="Times New Roman" w:hAnsi="Times New Roman" w:eastAsia="仿宋_GB2312" w:cs="Times New Roman"/>
          <w:sz w:val="32"/>
          <w:szCs w:val="32"/>
        </w:rPr>
        <w:t>面对严峻复杂的外部环境和艰巨繁重的改革发展任务，</w:t>
      </w:r>
      <w:r>
        <w:rPr>
          <w:rFonts w:hint="default" w:ascii="Times New Roman" w:hAnsi="Times New Roman" w:eastAsia="仿宋_GB2312" w:cs="Times New Roman"/>
          <w:sz w:val="32"/>
          <w:szCs w:val="32"/>
          <w:lang w:eastAsia="zh-CN"/>
        </w:rPr>
        <w:t>罗店镇</w:t>
      </w:r>
      <w:r>
        <w:rPr>
          <w:rFonts w:hint="default" w:ascii="Times New Roman" w:hAnsi="Times New Roman" w:eastAsia="仿宋_GB2312" w:cs="Times New Roman"/>
          <w:sz w:val="32"/>
          <w:szCs w:val="32"/>
        </w:rPr>
        <w:t>经济动能澎湃，传统产业升级与</w:t>
      </w:r>
      <w:r>
        <w:rPr>
          <w:rFonts w:hint="default" w:ascii="Times New Roman" w:hAnsi="Times New Roman" w:eastAsia="仿宋_GB2312" w:cs="Times New Roman"/>
          <w:sz w:val="32"/>
          <w:szCs w:val="32"/>
          <w:lang w:eastAsia="zh-CN"/>
        </w:rPr>
        <w:t>生物医药发展</w:t>
      </w:r>
      <w:r>
        <w:rPr>
          <w:rFonts w:hint="default" w:ascii="Times New Roman" w:hAnsi="Times New Roman" w:eastAsia="仿宋_GB2312" w:cs="Times New Roman"/>
          <w:sz w:val="32"/>
          <w:szCs w:val="32"/>
        </w:rPr>
        <w:t>双轮驱动</w:t>
      </w:r>
      <w:r>
        <w:rPr>
          <w:rFonts w:hint="default" w:ascii="Times New Roman" w:hAnsi="Times New Roman" w:eastAsia="仿宋_GB2312" w:cs="Times New Roman"/>
          <w:sz w:val="32"/>
          <w:szCs w:val="32"/>
          <w:lang w:eastAsia="zh-CN"/>
        </w:rPr>
        <w:t>；城建品质跃升，规划引领与生态宜居交相辉映；民生答卷暖心，公共服务提质与幸福工程扩面同频共振；治理效能彰显，精细化管理与智慧化赋能协同发力；乡村振兴图景靓丽，现代农业集群与文旅融合示范并蒂开花，</w:t>
      </w:r>
      <w:r>
        <w:rPr>
          <w:rFonts w:hint="default" w:ascii="Times New Roman" w:hAnsi="Times New Roman" w:eastAsia="仿宋_GB2312" w:cs="Times New Roman"/>
          <w:sz w:val="32"/>
          <w:szCs w:val="32"/>
        </w:rPr>
        <w:t>为罗店的“十五五”发展奠定了坚实基础。</w:t>
      </w:r>
    </w:p>
    <w:p w14:paraId="44AC0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当前，宝山区正深入贯彻落实“南北转型”战略部署，持续聚焦“三大转型”，</w:t>
      </w:r>
      <w:r>
        <w:rPr>
          <w:rFonts w:hint="eastAsia" w:ascii="Times New Roman" w:hAnsi="Times New Roman" w:eastAsia="仿宋_GB2312" w:cs="Times New Roman"/>
          <w:sz w:val="32"/>
          <w:szCs w:val="32"/>
          <w:lang w:eastAsia="zh-CN"/>
        </w:rPr>
        <w:t>全面建设</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四个城区</w:t>
      </w:r>
      <w:r>
        <w:rPr>
          <w:rFonts w:hint="default" w:ascii="Times New Roman" w:hAnsi="Times New Roman" w:eastAsia="仿宋_GB2312" w:cs="Times New Roman"/>
          <w:sz w:val="32"/>
          <w:szCs w:val="32"/>
        </w:rPr>
        <w:t>”，努力成为上海服务辐射长三角北翼的重要节点、成为上海北部经济发展新的增长极。罗店镇作为中国历史文化名镇，素有“金罗店”的美誉。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十五五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期间，罗店镇将深入贯彻落实二十届四中全会精神，牢牢把握在国家发展大局中的战略定位，</w:t>
      </w:r>
      <w:r>
        <w:rPr>
          <w:rFonts w:hint="default"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构建“美兰湖、创新药、古镇韵、乡村风”的</w:t>
      </w:r>
      <w:r>
        <w:rPr>
          <w:rFonts w:hint="default" w:ascii="Times New Roman" w:hAnsi="Times New Roman" w:eastAsia="仿宋_GB2312" w:cs="Times New Roman"/>
          <w:sz w:val="32"/>
          <w:szCs w:val="32"/>
          <w:lang w:eastAsia="zh-CN"/>
        </w:rPr>
        <w:t>发展</w:t>
      </w:r>
      <w:r>
        <w:rPr>
          <w:rFonts w:hint="default" w:ascii="Times New Roman" w:hAnsi="Times New Roman" w:eastAsia="仿宋_GB2312" w:cs="Times New Roman"/>
          <w:sz w:val="32"/>
          <w:szCs w:val="32"/>
        </w:rPr>
        <w:t>新格局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不断打造成为面向长三角的门户节点城镇、上海北部城镇圈的中心镇、“南北转型”的产城融合实践典范区，为</w:t>
      </w:r>
      <w:r>
        <w:rPr>
          <w:rFonts w:hint="default" w:ascii="Times New Roman" w:hAnsi="Times New Roman" w:eastAsia="仿宋_GB2312" w:cs="Times New Roman"/>
          <w:sz w:val="32"/>
          <w:szCs w:val="32"/>
          <w:lang w:eastAsia="zh-CN"/>
        </w:rPr>
        <w:t>“活力宝山</w:t>
      </w:r>
      <w:r>
        <w:rPr>
          <w:rFonts w:hint="default" w:ascii="Times New Roman" w:hAnsi="Times New Roman" w:eastAsia="仿宋_GB2312" w:cs="Times New Roman"/>
          <w:sz w:val="32"/>
          <w:szCs w:val="32"/>
          <w:lang w:val="en-US" w:eastAsia="zh-CN"/>
        </w:rPr>
        <w:t xml:space="preserve"> 科创兴区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宏伟蓝图贡献罗店力量。</w:t>
      </w:r>
    </w:p>
    <w:p w14:paraId="259B2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sdt>
      <w:sdtPr>
        <w:rPr>
          <w:rFonts w:hint="default" w:ascii="Times New Roman" w:hAnsi="Times New Roman" w:eastAsia="宋体" w:cs="Times New Roman"/>
          <w:kern w:val="2"/>
          <w:sz w:val="21"/>
          <w:szCs w:val="24"/>
          <w:lang w:val="en-US" w:eastAsia="zh-CN" w:bidi="ar-SA"/>
        </w:rPr>
        <w:id w:val="147473678"/>
        <w15:color w:val="DBDBDB"/>
        <w:docPartObj>
          <w:docPartGallery w:val="Table of Contents"/>
          <w:docPartUnique/>
        </w:docPartObj>
      </w:sdtPr>
      <w:sdtEndPr>
        <w:rPr>
          <w:rFonts w:hint="default" w:ascii="Times New Roman" w:hAnsi="Times New Roman" w:cs="Times New Roman" w:eastAsiaTheme="minorEastAsia"/>
          <w:kern w:val="2"/>
          <w:sz w:val="24"/>
          <w:szCs w:val="22"/>
          <w:lang w:val="en-US" w:eastAsia="zh-CN" w:bidi="ar-SA"/>
        </w:rPr>
      </w:sdtEndPr>
      <w:sdtContent>
        <w:p w14:paraId="675D4A7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eastAsia="华文中宋" w:cs="Times New Roman"/>
              <w:b/>
              <w:bCs/>
              <w:sz w:val="36"/>
              <w:szCs w:val="36"/>
            </w:rPr>
            <w:t>目录</w:t>
          </w:r>
        </w:p>
        <w:p w14:paraId="524D7543">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shd w:val="clear" w:color="auto" w:fill="auto"/>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华文中宋" w:cs="Times New Roman"/>
              <w:sz w:val="28"/>
              <w:szCs w:val="28"/>
              <w:shd w:val="clear" w:color="auto" w:fill="auto"/>
            </w:rPr>
            <w:fldChar w:fldCharType="begin"/>
          </w:r>
          <w:r>
            <w:rPr>
              <w:rFonts w:hint="default" w:ascii="Times New Roman" w:hAnsi="Times New Roman" w:eastAsia="华文中宋" w:cs="Times New Roman"/>
              <w:sz w:val="28"/>
              <w:szCs w:val="28"/>
              <w:shd w:val="clear" w:color="auto" w:fill="auto"/>
            </w:rPr>
            <w:instrText xml:space="preserve"> HYPERLINK \l _Toc21421 </w:instrText>
          </w:r>
          <w:r>
            <w:rPr>
              <w:rFonts w:hint="default" w:ascii="Times New Roman" w:hAnsi="Times New Roman" w:eastAsia="华文中宋" w:cs="Times New Roman"/>
              <w:sz w:val="28"/>
              <w:szCs w:val="28"/>
              <w:shd w:val="clear" w:color="auto" w:fill="auto"/>
            </w:rPr>
            <w:fldChar w:fldCharType="separate"/>
          </w:r>
          <w:r>
            <w:rPr>
              <w:rFonts w:hint="default" w:ascii="Times New Roman" w:hAnsi="Times New Roman" w:eastAsia="华文中宋" w:cs="Times New Roman"/>
              <w:sz w:val="28"/>
              <w:szCs w:val="28"/>
              <w:shd w:val="clear" w:color="auto" w:fill="auto"/>
            </w:rPr>
            <w:t>第一部分 发展回顾与形势分析</w:t>
          </w:r>
          <w:r>
            <w:rPr>
              <w:rFonts w:hint="default" w:ascii="Times New Roman" w:hAnsi="Times New Roman" w:eastAsia="华文中宋" w:cs="Times New Roman"/>
              <w:sz w:val="28"/>
              <w:szCs w:val="28"/>
              <w:shd w:val="clear" w:color="auto" w:fill="auto"/>
            </w:rPr>
            <w:tab/>
          </w:r>
          <w:r>
            <w:rPr>
              <w:rFonts w:hint="default" w:ascii="Times New Roman" w:hAnsi="Times New Roman" w:eastAsia="华文中宋" w:cs="Times New Roman"/>
              <w:sz w:val="28"/>
              <w:szCs w:val="28"/>
              <w:shd w:val="clear" w:color="auto" w:fill="auto"/>
            </w:rPr>
            <w:fldChar w:fldCharType="begin"/>
          </w:r>
          <w:r>
            <w:rPr>
              <w:rFonts w:hint="default" w:ascii="Times New Roman" w:hAnsi="Times New Roman" w:eastAsia="华文中宋" w:cs="Times New Roman"/>
              <w:sz w:val="28"/>
              <w:szCs w:val="28"/>
              <w:shd w:val="clear" w:color="auto" w:fill="auto"/>
            </w:rPr>
            <w:instrText xml:space="preserve"> PAGEREF _Toc21421 \h </w:instrText>
          </w:r>
          <w:r>
            <w:rPr>
              <w:rFonts w:hint="default" w:ascii="Times New Roman" w:hAnsi="Times New Roman" w:eastAsia="华文中宋" w:cs="Times New Roman"/>
              <w:sz w:val="28"/>
              <w:szCs w:val="28"/>
              <w:shd w:val="clear" w:color="auto" w:fill="auto"/>
            </w:rPr>
            <w:fldChar w:fldCharType="separate"/>
          </w:r>
          <w:r>
            <w:rPr>
              <w:rFonts w:hint="default" w:ascii="Times New Roman" w:hAnsi="Times New Roman" w:eastAsia="华文中宋" w:cs="Times New Roman"/>
              <w:sz w:val="28"/>
              <w:szCs w:val="28"/>
              <w:shd w:val="clear" w:color="auto" w:fill="auto"/>
            </w:rPr>
            <w:t>1</w:t>
          </w:r>
          <w:r>
            <w:rPr>
              <w:rFonts w:hint="default" w:ascii="Times New Roman" w:hAnsi="Times New Roman" w:eastAsia="华文中宋" w:cs="Times New Roman"/>
              <w:sz w:val="28"/>
              <w:szCs w:val="28"/>
              <w:shd w:val="clear" w:color="auto" w:fill="auto"/>
            </w:rPr>
            <w:fldChar w:fldCharType="end"/>
          </w:r>
          <w:r>
            <w:rPr>
              <w:rFonts w:hint="default" w:ascii="Times New Roman" w:hAnsi="Times New Roman" w:eastAsia="华文中宋" w:cs="Times New Roman"/>
              <w:sz w:val="28"/>
              <w:szCs w:val="28"/>
              <w:shd w:val="clear" w:color="auto" w:fill="auto"/>
            </w:rPr>
            <w:fldChar w:fldCharType="end"/>
          </w:r>
        </w:p>
        <w:p w14:paraId="1FEFB4A4">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_Toc31304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rPr>
            <w:t>一、</w:t>
          </w:r>
          <w:r>
            <w:rPr>
              <w:rFonts w:hint="default" w:ascii="Times New Roman" w:hAnsi="Times New Roman" w:cs="Times New Roman" w:eastAsiaTheme="majorEastAsia"/>
              <w:sz w:val="28"/>
              <w:szCs w:val="28"/>
              <w:shd w:val="clear" w:color="auto" w:fill="auto"/>
              <w:lang w:eastAsia="zh-CN"/>
            </w:rPr>
            <w:t>“</w:t>
          </w:r>
          <w:r>
            <w:rPr>
              <w:rFonts w:hint="default" w:ascii="Times New Roman" w:hAnsi="Times New Roman" w:cs="Times New Roman" w:eastAsiaTheme="majorEastAsia"/>
              <w:sz w:val="28"/>
              <w:szCs w:val="28"/>
              <w:shd w:val="clear" w:color="auto" w:fill="auto"/>
            </w:rPr>
            <w:t>十四五</w:t>
          </w:r>
          <w:r>
            <w:rPr>
              <w:rFonts w:hint="default" w:ascii="Times New Roman" w:hAnsi="Times New Roman" w:cs="Times New Roman" w:eastAsiaTheme="majorEastAsia"/>
              <w:sz w:val="28"/>
              <w:szCs w:val="28"/>
              <w:shd w:val="clear" w:color="auto" w:fill="auto"/>
              <w:lang w:eastAsia="zh-CN"/>
            </w:rPr>
            <w:t>”</w:t>
          </w:r>
          <w:r>
            <w:rPr>
              <w:rFonts w:hint="default" w:ascii="Times New Roman" w:hAnsi="Times New Roman" w:cs="Times New Roman" w:eastAsiaTheme="majorEastAsia"/>
              <w:sz w:val="28"/>
              <w:szCs w:val="28"/>
              <w:shd w:val="clear" w:color="auto" w:fill="auto"/>
            </w:rPr>
            <w:t>时期工作简要回顾</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_Toc31304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370C53BB">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_Toc25443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rPr>
            <w:t>二、</w:t>
          </w:r>
          <w:r>
            <w:rPr>
              <w:rFonts w:hint="default" w:ascii="Times New Roman" w:hAnsi="Times New Roman" w:cs="Times New Roman" w:eastAsiaTheme="majorEastAsia"/>
              <w:sz w:val="28"/>
              <w:szCs w:val="28"/>
              <w:shd w:val="clear" w:color="auto" w:fill="auto"/>
              <w:lang w:eastAsia="zh-CN"/>
            </w:rPr>
            <w:t>新阶段发展环境分析</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_Toc25443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4</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44D5D808">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_Toc12032 </w:instrText>
          </w:r>
          <w:r>
            <w:rPr>
              <w:rFonts w:hint="default" w:ascii="Times New Roman" w:hAnsi="Times New Roman" w:cs="Times New Roman"/>
              <w:sz w:val="28"/>
              <w:szCs w:val="28"/>
              <w:shd w:val="clear" w:color="auto" w:fill="auto"/>
            </w:rPr>
            <w:fldChar w:fldCharType="separate"/>
          </w:r>
          <w:r>
            <w:rPr>
              <w:rFonts w:hint="default" w:ascii="Times New Roman" w:hAnsi="Times New Roman" w:eastAsia="华文中宋" w:cs="Times New Roman"/>
              <w:sz w:val="28"/>
              <w:szCs w:val="28"/>
              <w:shd w:val="clear" w:color="auto" w:fill="auto"/>
              <w:lang w:val="en-US" w:eastAsia="zh-CN"/>
            </w:rPr>
            <w:t>第二部分 指导思想、基本原则和发展目标</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_Toc12032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8</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68F45F5C">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_Toc7761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一、指导思想</w:t>
          </w:r>
          <w:bookmarkStart w:id="70" w:name="_GoBack"/>
          <w:bookmarkEnd w:id="70"/>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_Toc7761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8</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418C100F">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_Toc28956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二、基本原则</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_Toc28956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8</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7A7AF3DC">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_Toc4288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三、发展目标</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_Toc4288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10</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6AB5A217">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_Toc30864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四、发展布局</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_Toc30864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11</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47CDA7B4">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_Toc30488 </w:instrText>
          </w:r>
          <w:r>
            <w:rPr>
              <w:rFonts w:hint="default" w:ascii="Times New Roman" w:hAnsi="Times New Roman" w:cs="Times New Roman"/>
              <w:sz w:val="28"/>
              <w:szCs w:val="28"/>
              <w:shd w:val="clear" w:color="auto" w:fill="auto"/>
            </w:rPr>
            <w:fldChar w:fldCharType="separate"/>
          </w:r>
          <w:r>
            <w:rPr>
              <w:rFonts w:hint="default" w:ascii="Times New Roman" w:hAnsi="Times New Roman" w:eastAsia="华文中宋" w:cs="Times New Roman"/>
              <w:sz w:val="28"/>
              <w:szCs w:val="28"/>
              <w:shd w:val="clear" w:color="auto" w:fill="auto"/>
              <w:lang w:val="en-US" w:eastAsia="zh-CN"/>
            </w:rPr>
            <w:t>第三部分  “十五五”工作任务</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_Toc30488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14</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5EBCEBC5">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_Toc31492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一、强化产业引领功能，培育经济高质量发展新动能</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_Toc31492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14</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64C0277B">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_Toc19559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二、优化城市功能布局，擘画产城融合空间新图景</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_Toc19559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17</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54759CA9">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_Toc28090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三、创造高品质生活，更好满足人民对美好生活的向往</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_Toc28090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20</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6B3C8FFB">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_Toc636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四、提高社会治理水平，筑牢城市安全运行防线</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_Toc636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23</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6DA89873">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_Toc28279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五、推进乡村振兴战略，建设宜居宜业和美乡村</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_Toc28279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26</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14BD227B">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_Toc6824 </w:instrText>
          </w:r>
          <w:r>
            <w:rPr>
              <w:rFonts w:hint="default" w:ascii="Times New Roman" w:hAnsi="Times New Roman" w:cs="Times New Roman"/>
              <w:sz w:val="28"/>
              <w:szCs w:val="28"/>
              <w:shd w:val="clear" w:color="auto" w:fill="auto"/>
            </w:rPr>
            <w:fldChar w:fldCharType="separate"/>
          </w:r>
          <w:r>
            <w:rPr>
              <w:rFonts w:hint="default" w:ascii="Times New Roman" w:hAnsi="Times New Roman" w:eastAsia="华文中宋" w:cs="Times New Roman"/>
              <w:sz w:val="28"/>
              <w:szCs w:val="28"/>
              <w:shd w:val="clear" w:color="auto" w:fill="auto"/>
              <w:lang w:val="en-US" w:eastAsia="zh-CN"/>
            </w:rPr>
            <w:t>第四部分  切实加强组织保障</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_Toc6824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29</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0316A010">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_Toc27070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一、坚持党的领导</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_Toc27070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29</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38C3806A">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 w:val="28"/>
              <w:szCs w:val="28"/>
              <w:shd w:val="clear" w:color="auto" w:fill="auto"/>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_Toc14536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二、强化组织建设</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_Toc14536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29</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54D35FA6">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rPr>
          </w:pP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HYPERLINK \l _Toc28793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eastAsiaTheme="majorEastAsia"/>
              <w:sz w:val="28"/>
              <w:szCs w:val="28"/>
              <w:shd w:val="clear" w:color="auto" w:fill="auto"/>
              <w:lang w:val="en-US" w:eastAsia="zh-CN"/>
            </w:rPr>
            <w:t>三、强化规划引领</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fldChar w:fldCharType="begin"/>
          </w:r>
          <w:r>
            <w:rPr>
              <w:rFonts w:hint="default" w:ascii="Times New Roman" w:hAnsi="Times New Roman" w:cs="Times New Roman"/>
              <w:sz w:val="28"/>
              <w:szCs w:val="28"/>
              <w:shd w:val="clear" w:color="auto" w:fill="auto"/>
            </w:rPr>
            <w:instrText xml:space="preserve"> PAGEREF _Toc28793 \h </w:instrText>
          </w:r>
          <w:r>
            <w:rPr>
              <w:rFonts w:hint="default" w:ascii="Times New Roman" w:hAnsi="Times New Roman" w:cs="Times New Roman"/>
              <w:sz w:val="28"/>
              <w:szCs w:val="28"/>
              <w:shd w:val="clear" w:color="auto" w:fill="auto"/>
            </w:rPr>
            <w:fldChar w:fldCharType="separate"/>
          </w:r>
          <w:r>
            <w:rPr>
              <w:rFonts w:hint="default" w:ascii="Times New Roman" w:hAnsi="Times New Roman" w:cs="Times New Roman"/>
              <w:sz w:val="28"/>
              <w:szCs w:val="28"/>
              <w:shd w:val="clear" w:color="auto" w:fill="auto"/>
            </w:rPr>
            <w:t>30</w:t>
          </w:r>
          <w:r>
            <w:rPr>
              <w:rFonts w:hint="default" w:ascii="Times New Roman" w:hAnsi="Times New Roman" w:cs="Times New Roman"/>
              <w:sz w:val="28"/>
              <w:szCs w:val="28"/>
              <w:shd w:val="clear" w:color="auto" w:fill="auto"/>
            </w:rPr>
            <w:fldChar w:fldCharType="end"/>
          </w:r>
          <w:r>
            <w:rPr>
              <w:rFonts w:hint="default" w:ascii="Times New Roman" w:hAnsi="Times New Roman" w:cs="Times New Roman"/>
              <w:sz w:val="28"/>
              <w:szCs w:val="28"/>
              <w:shd w:val="clear" w:color="auto" w:fill="auto"/>
            </w:rPr>
            <w:fldChar w:fldCharType="end"/>
          </w:r>
        </w:p>
        <w:p w14:paraId="09D29D1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eastAsiaTheme="minorEastAsia"/>
              <w:kern w:val="2"/>
              <w:sz w:val="24"/>
              <w:szCs w:val="22"/>
              <w:lang w:val="en-US" w:eastAsia="zh-CN" w:bidi="ar-SA"/>
            </w:rPr>
          </w:pPr>
          <w:r>
            <w:rPr>
              <w:rFonts w:hint="default" w:ascii="Times New Roman" w:hAnsi="Times New Roman" w:cs="Times New Roman"/>
            </w:rPr>
            <w:fldChar w:fldCharType="end"/>
          </w:r>
        </w:p>
      </w:sdtContent>
    </w:sdt>
    <w:p w14:paraId="270C6B53">
      <w:pPr>
        <w:pStyle w:val="2"/>
        <w:ind w:left="0" w:leftChars="0" w:firstLine="0" w:firstLineChars="0"/>
        <w:rPr>
          <w:rFonts w:hint="default" w:ascii="Times New Roman" w:hAnsi="Times New Roman" w:cs="Times New Roman" w:eastAsiaTheme="minorEastAsia"/>
          <w:kern w:val="2"/>
          <w:sz w:val="24"/>
          <w:szCs w:val="22"/>
          <w:lang w:val="en-US" w:eastAsia="zh-CN" w:bidi="ar-SA"/>
        </w:rPr>
        <w:sectPr>
          <w:pgSz w:w="11906" w:h="16838"/>
          <w:pgMar w:top="1440" w:right="1800" w:bottom="1440" w:left="1800" w:header="851" w:footer="992" w:gutter="0"/>
          <w:cols w:space="425" w:num="1"/>
          <w:docGrid w:type="lines" w:linePitch="312" w:charSpace="0"/>
        </w:sectPr>
      </w:pPr>
    </w:p>
    <w:p w14:paraId="574B9F2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华文中宋" w:cs="Times New Roman"/>
          <w:b/>
          <w:bCs/>
          <w:sz w:val="36"/>
          <w:szCs w:val="36"/>
        </w:rPr>
      </w:pPr>
      <w:bookmarkStart w:id="2" w:name="_Toc21421"/>
      <w:bookmarkStart w:id="3" w:name="_Toc7728"/>
      <w:r>
        <w:rPr>
          <w:rFonts w:hint="default" w:ascii="Times New Roman" w:hAnsi="Times New Roman" w:eastAsia="华文中宋" w:cs="Times New Roman"/>
          <w:b/>
          <w:bCs/>
          <w:sz w:val="36"/>
          <w:szCs w:val="36"/>
        </w:rPr>
        <w:t>第一部分 发展回顾与形势分析</w:t>
      </w:r>
      <w:bookmarkEnd w:id="2"/>
      <w:bookmarkEnd w:id="3"/>
    </w:p>
    <w:p w14:paraId="4FD6B9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31EE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bookmarkStart w:id="4" w:name="_Toc31304"/>
      <w:bookmarkStart w:id="5" w:name="_Toc25021"/>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十四五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时期工作简要回顾</w:t>
      </w:r>
      <w:bookmarkEnd w:id="4"/>
      <w:bookmarkEnd w:id="5"/>
    </w:p>
    <w:p w14:paraId="161E0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“十四五”以来，罗店镇积极融入宝山</w:t>
      </w:r>
      <w:r>
        <w:rPr>
          <w:rFonts w:hint="default" w:ascii="Times New Roman" w:hAnsi="Times New Roman" w:eastAsia="仿宋_GB2312" w:cs="Times New Roman"/>
          <w:sz w:val="32"/>
          <w:szCs w:val="32"/>
          <w:lang w:eastAsia="zh-CN"/>
        </w:rPr>
        <w:t>“一地两区”</w:t>
      </w:r>
      <w:r>
        <w:rPr>
          <w:rFonts w:hint="default" w:ascii="Times New Roman" w:hAnsi="Times New Roman" w:eastAsia="仿宋_GB2312" w:cs="Times New Roman"/>
          <w:sz w:val="32"/>
          <w:szCs w:val="32"/>
        </w:rPr>
        <w:t>建设，坚持稳增长、促改革、调结构、惠民生、防风险、保稳定，始终以“坚持文化引领、深化产城融合，传承700年花神故里、打造长江口上的中国历史文化名镇”为发展主线，扎实推进罗店经济社会各项事业持续健康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“十四五”规划确定的主要指标和任务基本实现。</w:t>
      </w:r>
    </w:p>
    <w:p w14:paraId="4F65D6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经济高质量发展</w:t>
      </w:r>
      <w:r>
        <w:rPr>
          <w:rFonts w:hint="default" w:ascii="Times New Roman" w:hAnsi="Times New Roman" w:eastAsia="仿宋_GB2312" w:cs="Times New Roman"/>
          <w:b/>
          <w:bCs/>
          <w:sz w:val="32"/>
          <w:szCs w:val="32"/>
          <w:lang w:eastAsia="zh-CN"/>
        </w:rPr>
        <w:t>实现</w:t>
      </w:r>
      <w:r>
        <w:rPr>
          <w:rFonts w:hint="default" w:ascii="Times New Roman" w:hAnsi="Times New Roman" w:eastAsia="仿宋_GB2312" w:cs="Times New Roman"/>
          <w:b/>
          <w:bCs/>
          <w:sz w:val="32"/>
          <w:szCs w:val="32"/>
        </w:rPr>
        <w:t>新突破。</w:t>
      </w:r>
      <w:r>
        <w:rPr>
          <w:rFonts w:hint="default" w:ascii="Times New Roman" w:hAnsi="Times New Roman" w:eastAsia="仿宋_GB2312" w:cs="Times New Roman"/>
          <w:sz w:val="32"/>
          <w:szCs w:val="32"/>
        </w:rPr>
        <w:t>地方财政收入</w:t>
      </w:r>
      <w:r>
        <w:rPr>
          <w:rFonts w:hint="default" w:ascii="Times New Roman" w:hAnsi="Times New Roman" w:eastAsia="仿宋_GB2312" w:cs="Times New Roman"/>
          <w:sz w:val="32"/>
          <w:szCs w:val="32"/>
          <w:lang w:eastAsia="zh-CN"/>
        </w:rPr>
        <w:t>预计</w:t>
      </w:r>
      <w:r>
        <w:rPr>
          <w:rFonts w:hint="default" w:ascii="Times New Roman" w:hAnsi="Times New Roman" w:eastAsia="仿宋_GB2312" w:cs="Times New Roman"/>
          <w:sz w:val="32"/>
          <w:szCs w:val="32"/>
        </w:rPr>
        <w:t>累计完成</w:t>
      </w:r>
      <w:r>
        <w:rPr>
          <w:rFonts w:hint="default" w:ascii="Times New Roman" w:hAnsi="Times New Roman" w:eastAsia="仿宋_GB2312" w:cs="Times New Roman"/>
          <w:sz w:val="32"/>
          <w:szCs w:val="32"/>
          <w:lang w:val="en-US" w:eastAsia="zh-CN"/>
        </w:rPr>
        <w:t>39.34</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，同比增长9.43%；</w:t>
      </w:r>
      <w:r>
        <w:rPr>
          <w:rFonts w:hint="default" w:ascii="Times New Roman" w:hAnsi="Times New Roman" w:eastAsia="仿宋_GB2312" w:cs="Times New Roman"/>
          <w:sz w:val="32"/>
          <w:szCs w:val="32"/>
        </w:rPr>
        <w:t>固定资产投资</w:t>
      </w:r>
      <w:r>
        <w:rPr>
          <w:rFonts w:hint="default" w:ascii="Times New Roman" w:hAnsi="Times New Roman" w:eastAsia="仿宋_GB2312" w:cs="Times New Roman"/>
          <w:sz w:val="32"/>
          <w:szCs w:val="32"/>
          <w:lang w:eastAsia="zh-CN"/>
        </w:rPr>
        <w:t>预计</w:t>
      </w:r>
      <w:r>
        <w:rPr>
          <w:rFonts w:hint="default" w:ascii="Times New Roman" w:hAnsi="Times New Roman" w:eastAsia="仿宋_GB2312" w:cs="Times New Roman"/>
          <w:sz w:val="32"/>
          <w:szCs w:val="32"/>
        </w:rPr>
        <w:t>累计完成</w:t>
      </w:r>
      <w:r>
        <w:rPr>
          <w:rFonts w:hint="default" w:ascii="Times New Roman" w:hAnsi="Times New Roman" w:eastAsia="仿宋_GB2312" w:cs="Times New Roman"/>
          <w:sz w:val="32"/>
          <w:szCs w:val="32"/>
          <w:lang w:val="en-US" w:eastAsia="zh-CN"/>
        </w:rPr>
        <w:t>313.4</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，同比增长43.3%；</w:t>
      </w:r>
      <w:r>
        <w:rPr>
          <w:rFonts w:hint="default" w:ascii="Times New Roman" w:hAnsi="Times New Roman" w:eastAsia="仿宋_GB2312" w:cs="Times New Roman"/>
          <w:sz w:val="32"/>
          <w:szCs w:val="32"/>
        </w:rPr>
        <w:t>规上工业总产值</w:t>
      </w:r>
      <w:r>
        <w:rPr>
          <w:rFonts w:hint="default" w:ascii="Times New Roman" w:hAnsi="Times New Roman" w:eastAsia="仿宋_GB2312" w:cs="Times New Roman"/>
          <w:sz w:val="32"/>
          <w:szCs w:val="32"/>
          <w:lang w:eastAsia="zh-CN"/>
        </w:rPr>
        <w:t>预计</w:t>
      </w:r>
      <w:r>
        <w:rPr>
          <w:rFonts w:hint="default" w:ascii="Times New Roman" w:hAnsi="Times New Roman" w:eastAsia="仿宋_GB2312" w:cs="Times New Roman"/>
          <w:sz w:val="32"/>
          <w:szCs w:val="32"/>
        </w:rPr>
        <w:t>累计完成</w:t>
      </w:r>
      <w:r>
        <w:rPr>
          <w:rFonts w:hint="default" w:ascii="Times New Roman" w:hAnsi="Times New Roman" w:eastAsia="仿宋_GB2312" w:cs="Times New Roman"/>
          <w:sz w:val="32"/>
          <w:szCs w:val="32"/>
          <w:lang w:val="en-US" w:eastAsia="zh-CN"/>
        </w:rPr>
        <w:t>700</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，同比增长45.3%，商销预计累计完成311亿元，同比增长53.3%，各项经济指标均实现显著增长</w:t>
      </w:r>
      <w:r>
        <w:rPr>
          <w:rFonts w:hint="default" w:ascii="Times New Roman" w:hAnsi="Times New Roman" w:eastAsia="仿宋_GB2312" w:cs="Times New Roman"/>
          <w:sz w:val="32"/>
          <w:szCs w:val="32"/>
        </w:rPr>
        <w:t>。生物医药、新材料等主导产业能级提升，产业结构进一步优化。北上海生物医药产业园引入临港、国盛、天瑞金等专业园区开发“智造空间”项目，新增专业载体近100万方</w:t>
      </w:r>
      <w:r>
        <w:rPr>
          <w:rFonts w:hint="default" w:ascii="Times New Roman" w:hAnsi="Times New Roman" w:eastAsia="仿宋_GB2312" w:cs="Times New Roman"/>
          <w:sz w:val="32"/>
          <w:szCs w:val="32"/>
          <w:lang w:eastAsia="zh-CN"/>
        </w:rPr>
        <w:t>，落地</w:t>
      </w:r>
      <w:r>
        <w:rPr>
          <w:rFonts w:hint="default" w:ascii="Times New Roman" w:hAnsi="Times New Roman" w:eastAsia="仿宋_GB2312" w:cs="Times New Roman"/>
          <w:sz w:val="32"/>
          <w:szCs w:val="32"/>
        </w:rPr>
        <w:t>宝济、惠永、禄亘、药康、斯丹姆、蓝鹊等20余家生物医药细分赛道的隐形冠军，涵盖合成生物、创新疫苗、医疗器械等细分领域，累计获批创新药18个、仿制药28个，入围首批上海市中小企业特色产业集群，入选2024“中国生物医药产业最具活力园区”。生物医药产业总投资约100亿元，集聚企业300余家，落地企业总产值约20亿元，科技研发投入超20亿元，保持</w:t>
      </w:r>
      <w:r>
        <w:rPr>
          <w:rFonts w:hint="default" w:ascii="Times New Roman" w:hAnsi="Times New Roman" w:eastAsia="仿宋_GB2312" w:cs="Times New Roman"/>
          <w:sz w:val="32"/>
          <w:szCs w:val="32"/>
          <w:lang w:eastAsia="zh-CN"/>
        </w:rPr>
        <w:t>年均</w:t>
      </w:r>
      <w:r>
        <w:rPr>
          <w:rFonts w:hint="default" w:ascii="Times New Roman" w:hAnsi="Times New Roman" w:eastAsia="仿宋_GB2312" w:cs="Times New Roman"/>
          <w:sz w:val="32"/>
          <w:szCs w:val="32"/>
        </w:rPr>
        <w:t>30%的增长。</w:t>
      </w:r>
      <w:r>
        <w:rPr>
          <w:rFonts w:hint="default" w:ascii="Times New Roman" w:hAnsi="Times New Roman" w:eastAsia="仿宋_GB2312" w:cs="Times New Roman"/>
          <w:sz w:val="32"/>
          <w:szCs w:val="32"/>
          <w:lang w:eastAsia="zh-CN"/>
        </w:rPr>
        <w:t>宝济药业港交所成功挂牌上市。</w:t>
      </w:r>
      <w:r>
        <w:rPr>
          <w:rFonts w:hint="default" w:ascii="Times New Roman" w:hAnsi="Times New Roman" w:eastAsia="仿宋_GB2312" w:cs="Times New Roman"/>
          <w:sz w:val="32"/>
          <w:szCs w:val="32"/>
        </w:rPr>
        <w:t>新增国家级专精特新“小巨人”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市级专精特新“小巨人”</w:t>
      </w:r>
      <w:r>
        <w:rPr>
          <w:rFonts w:hint="default" w:ascii="Times New Roman" w:hAnsi="Times New Roman" w:eastAsia="仿宋_GB2312" w:cs="Times New Roman"/>
          <w:sz w:val="32"/>
          <w:szCs w:val="32"/>
          <w:lang w:val="en-US" w:eastAsia="zh-CN"/>
        </w:rPr>
        <w:t>1家，</w:t>
      </w:r>
      <w:r>
        <w:rPr>
          <w:rFonts w:hint="default" w:ascii="Times New Roman" w:hAnsi="Times New Roman" w:eastAsia="仿宋_GB2312" w:cs="Times New Roman"/>
          <w:sz w:val="32"/>
          <w:szCs w:val="32"/>
        </w:rPr>
        <w:t>市级专精特新企业</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家；市级企业技术中心3家；市级高新技术企业（含复审）113家</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14:paraId="47D173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城市现代化进程打开新局面。</w:t>
      </w:r>
      <w:r>
        <w:rPr>
          <w:rFonts w:hint="default" w:ascii="Times New Roman" w:hAnsi="Times New Roman" w:eastAsia="仿宋_GB2312" w:cs="Times New Roman"/>
          <w:sz w:val="32"/>
          <w:szCs w:val="32"/>
        </w:rPr>
        <w:t>美兰湖区域，诺贝尔科技公园、美兰西湖公园正式开放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“美之翼”人行桥飞架荻泾两侧，马路河生态步道贯穿新镇东西</w:t>
      </w:r>
      <w:r>
        <w:rPr>
          <w:rFonts w:hint="default" w:ascii="Times New Roman" w:hAnsi="Times New Roman" w:eastAsia="仿宋_GB2312" w:cs="Times New Roman"/>
          <w:sz w:val="32"/>
          <w:szCs w:val="32"/>
          <w:lang w:eastAsia="zh-CN"/>
        </w:rPr>
        <w:t>，实现推窗能见绿、抬脚即公园，城市界面焕然一新</w:t>
      </w:r>
      <w:r>
        <w:rPr>
          <w:rFonts w:hint="default" w:ascii="Times New Roman" w:hAnsi="Times New Roman" w:eastAsia="仿宋_GB2312" w:cs="Times New Roman"/>
          <w:sz w:val="32"/>
          <w:szCs w:val="32"/>
        </w:rPr>
        <w:t>。古镇区域基础设施逐步完善，引入“东西巷里”商文旅项目，打造罗店“小豫园”，宝山寺祇园向公众开放，实现老街既有烟火气又干净有序。罗店古镇核心区环境提升工程顺利完工，实现旧貌</w:t>
      </w:r>
      <w:r>
        <w:rPr>
          <w:rFonts w:hint="default" w:ascii="Times New Roman" w:hAnsi="Times New Roman" w:eastAsia="仿宋_GB2312" w:cs="Times New Roman"/>
          <w:sz w:val="32"/>
          <w:szCs w:val="32"/>
          <w:lang w:eastAsia="zh-CN"/>
        </w:rPr>
        <w:t>换</w:t>
      </w:r>
      <w:r>
        <w:rPr>
          <w:rFonts w:hint="default" w:ascii="Times New Roman" w:hAnsi="Times New Roman" w:eastAsia="仿宋_GB2312" w:cs="Times New Roman"/>
          <w:sz w:val="32"/>
          <w:szCs w:val="32"/>
        </w:rPr>
        <w:t>新颜。完成大居蓉庭、老镇罗溪佳苑等7个动迁安置基地71万平方米建设，历史性安置需求基本化解，群众安居实现从“有保障”向“更宜居”迈进。罗店</w:t>
      </w:r>
      <w:r>
        <w:rPr>
          <w:rFonts w:hint="eastAsia" w:ascii="Times New Roman" w:hAnsi="Times New Roman" w:eastAsia="仿宋_GB2312" w:cs="Times New Roman"/>
          <w:sz w:val="32"/>
          <w:szCs w:val="32"/>
          <w:lang w:eastAsia="zh-CN"/>
        </w:rPr>
        <w:t>大居九年一贯制学校、</w:t>
      </w:r>
      <w:r>
        <w:rPr>
          <w:rFonts w:hint="default" w:ascii="Times New Roman" w:hAnsi="Times New Roman" w:eastAsia="仿宋_GB2312" w:cs="Times New Roman"/>
          <w:sz w:val="32"/>
          <w:szCs w:val="32"/>
        </w:rPr>
        <w:t>新镇东部</w:t>
      </w:r>
      <w:r>
        <w:rPr>
          <w:rFonts w:hint="default" w:ascii="Times New Roman" w:hAnsi="Times New Roman" w:eastAsia="仿宋_GB2312" w:cs="Times New Roman"/>
          <w:sz w:val="32"/>
          <w:szCs w:val="32"/>
          <w:lang w:eastAsia="zh-CN"/>
        </w:rPr>
        <w:t>九年一贯制</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eastAsia="zh-CN"/>
        </w:rPr>
        <w:t>、幼儿园新建工程正式开工。</w:t>
      </w:r>
      <w:r>
        <w:rPr>
          <w:rFonts w:hint="default" w:ascii="Times New Roman" w:hAnsi="Times New Roman" w:eastAsia="仿宋_GB2312" w:cs="Times New Roman"/>
          <w:sz w:val="32"/>
          <w:szCs w:val="32"/>
        </w:rPr>
        <w:t>完成潘泾路（月罗公路-杨南路）2.5公里全线贯通工程，解决困扰周边居民十多年的“肠梗阻”。道路绿化提标改造，打造美兰湖小镇“春花烂漫、夏荫浓郁、秋色绚丽、冬景苍翠”的</w:t>
      </w:r>
      <w:r>
        <w:rPr>
          <w:rFonts w:hint="default" w:ascii="Times New Roman" w:hAnsi="Times New Roman" w:eastAsia="仿宋_GB2312" w:cs="Times New Roman"/>
          <w:sz w:val="32"/>
          <w:szCs w:val="32"/>
          <w:lang w:eastAsia="zh-CN"/>
        </w:rPr>
        <w:t>四季</w:t>
      </w:r>
      <w:r>
        <w:rPr>
          <w:rFonts w:hint="default" w:ascii="Times New Roman" w:hAnsi="Times New Roman" w:eastAsia="仿宋_GB2312" w:cs="Times New Roman"/>
          <w:sz w:val="32"/>
          <w:szCs w:val="32"/>
        </w:rPr>
        <w:t>景观效果。</w:t>
      </w:r>
    </w:p>
    <w:p w14:paraId="0AFE74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社会民生事业</w:t>
      </w:r>
      <w:r>
        <w:rPr>
          <w:rFonts w:hint="default" w:ascii="Times New Roman" w:hAnsi="Times New Roman" w:eastAsia="仿宋_GB2312" w:cs="Times New Roman"/>
          <w:b/>
          <w:bCs/>
          <w:sz w:val="32"/>
          <w:szCs w:val="32"/>
          <w:lang w:eastAsia="zh-CN"/>
        </w:rPr>
        <w:t>绘就新图景</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社保就业工作扎实有效推进，城乡居民</w:t>
      </w:r>
      <w:r>
        <w:rPr>
          <w:rFonts w:hint="default" w:ascii="Times New Roman" w:hAnsi="Times New Roman" w:eastAsia="仿宋_GB2312" w:cs="Times New Roman"/>
          <w:sz w:val="32"/>
          <w:szCs w:val="32"/>
          <w:lang w:eastAsia="zh-CN"/>
        </w:rPr>
        <w:t>做到</w:t>
      </w:r>
      <w:r>
        <w:rPr>
          <w:rFonts w:hint="default" w:ascii="Times New Roman" w:hAnsi="Times New Roman" w:eastAsia="仿宋_GB2312" w:cs="Times New Roman"/>
          <w:sz w:val="32"/>
          <w:szCs w:val="32"/>
        </w:rPr>
        <w:t>应保尽保，各项社保待遇水平稳步提高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医疗服务能力显著提升，罗店医院成功创建为上海市区域性医疗中心建设单位</w:t>
      </w:r>
      <w:r>
        <w:rPr>
          <w:rFonts w:hint="default" w:ascii="Times New Roman" w:hAnsi="Times New Roman" w:eastAsia="仿宋_GB2312" w:cs="Times New Roman"/>
          <w:sz w:val="32"/>
          <w:szCs w:val="32"/>
          <w:lang w:eastAsia="zh-CN"/>
        </w:rPr>
        <w:t>，社区</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市级示范性</w:t>
      </w:r>
      <w:r>
        <w:rPr>
          <w:rFonts w:hint="default" w:ascii="Times New Roman" w:hAnsi="Times New Roman" w:eastAsia="仿宋_GB2312" w:cs="Times New Roman"/>
          <w:sz w:val="32"/>
          <w:szCs w:val="32"/>
        </w:rPr>
        <w:t>康复中心，创建上海市中医药特色巡诊社区卫生服务站</w:t>
      </w:r>
      <w:r>
        <w:rPr>
          <w:rFonts w:hint="default" w:ascii="Times New Roman" w:hAnsi="Times New Roman" w:eastAsia="仿宋_GB2312" w:cs="Times New Roman"/>
          <w:sz w:val="32"/>
          <w:szCs w:val="32"/>
          <w:lang w:eastAsia="zh-CN"/>
        </w:rPr>
        <w:t>。优化教育资源配置，引进优质品牌打造美兰湖世外学校，罗店中学获评上海市特色高中，进一步塑造本土特色。</w:t>
      </w:r>
      <w:r>
        <w:rPr>
          <w:rFonts w:hint="default" w:ascii="Times New Roman" w:hAnsi="Times New Roman" w:eastAsia="仿宋_GB2312" w:cs="Times New Roman"/>
          <w:sz w:val="32"/>
          <w:szCs w:val="32"/>
        </w:rPr>
        <w:t>养老服务设施逐步完善，打造“15分钟”养老服务圈，新增1家综合为老中心、2个睦邻点、22家家门口的养老服务站</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织密</w:t>
      </w:r>
      <w:r>
        <w:rPr>
          <w:rFonts w:hint="default" w:ascii="Times New Roman" w:hAnsi="Times New Roman" w:eastAsia="仿宋_GB2312" w:cs="Times New Roman"/>
          <w:sz w:val="32"/>
          <w:szCs w:val="32"/>
        </w:rPr>
        <w:t>覆盖广泛、功能多样的养老服务网络。形成“文化四季”品牌体系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“春有花神秋有画、夏有龙船冬有灯”全年活动矩阵成效显著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实现文商旅农体展深度融合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“最爱美兰湖”潮体赛品牌渐成体系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远景、天平特色农旅初步成型，持续提升美兰湖、乡村风板块附加值。</w:t>
      </w:r>
    </w:p>
    <w:p w14:paraId="36DE99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社会治理工作迈出新步伐。</w:t>
      </w:r>
      <w:r>
        <w:rPr>
          <w:rFonts w:hint="default" w:ascii="Times New Roman" w:hAnsi="Times New Roman" w:eastAsia="仿宋_GB2312" w:cs="Times New Roman"/>
          <w:sz w:val="32"/>
          <w:szCs w:val="32"/>
        </w:rPr>
        <w:t>社区治理“十大星计划”和党建项目“举手制”特色品牌，形成74个基层治理新项目，28个市、区级“美好社区 先锋行动”项目，《点亮星阵 把高品质生活送入万家》案例获评第二届上海城市基层创新案例最佳案例。社会矛盾有效化解，打造“美兰西湖社区纠纷调解中心”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防范化解</w:t>
      </w:r>
      <w:r>
        <w:rPr>
          <w:rFonts w:hint="default" w:ascii="Times New Roman" w:hAnsi="Times New Roman" w:eastAsia="仿宋_GB2312" w:cs="Times New Roman"/>
          <w:sz w:val="32"/>
          <w:szCs w:val="32"/>
          <w:lang w:eastAsia="zh-CN"/>
        </w:rPr>
        <w:t>区域内不稳定因素</w:t>
      </w:r>
      <w:r>
        <w:rPr>
          <w:rFonts w:hint="default" w:ascii="Times New Roman" w:hAnsi="Times New Roman" w:eastAsia="仿宋_GB2312" w:cs="Times New Roman"/>
          <w:sz w:val="32"/>
          <w:szCs w:val="32"/>
        </w:rPr>
        <w:t>。“美丽家园”建设长效推进，完成多层住宅加装电梯</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400台住宅智慧电梯远程监测装置安装工作。聚焦电动自行车安全管理，累计完成78个小区充电设施建设，新增充电点位452个、充电位3799个。公共安全保障提升，常态化开展扫黑除恶斗争，“雪亮工程”在线率保持90%以上，</w:t>
      </w:r>
      <w:r>
        <w:rPr>
          <w:rFonts w:hint="default" w:ascii="Times New Roman" w:hAnsi="Times New Roman" w:eastAsia="仿宋_GB2312" w:cs="Times New Roman"/>
          <w:sz w:val="32"/>
          <w:szCs w:val="32"/>
          <w:lang w:eastAsia="zh-CN"/>
        </w:rPr>
        <w:t>治安管理水平不断提升</w:t>
      </w:r>
      <w:r>
        <w:rPr>
          <w:rFonts w:hint="default" w:ascii="Times New Roman" w:hAnsi="Times New Roman" w:eastAsia="仿宋_GB2312" w:cs="Times New Roman"/>
          <w:sz w:val="32"/>
          <w:szCs w:val="32"/>
        </w:rPr>
        <w:t>。安全生产筑牢防线，聚焦消防安全，开展各类专项整治工作。</w:t>
      </w:r>
    </w:p>
    <w:p w14:paraId="5CA6B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乡村振兴建设进入新阶段。</w:t>
      </w:r>
      <w:r>
        <w:rPr>
          <w:rFonts w:hint="default" w:ascii="Times New Roman" w:hAnsi="Times New Roman" w:eastAsia="仿宋_GB2312" w:cs="Times New Roman"/>
          <w:sz w:val="32"/>
          <w:szCs w:val="32"/>
          <w:lang w:val="en-US" w:eastAsia="zh-CN"/>
        </w:rPr>
        <w:t>先后</w:t>
      </w:r>
      <w:r>
        <w:rPr>
          <w:rFonts w:hint="default" w:ascii="Times New Roman" w:hAnsi="Times New Roman" w:eastAsia="仿宋_GB2312" w:cs="Times New Roman"/>
          <w:sz w:val="32"/>
          <w:szCs w:val="32"/>
        </w:rPr>
        <w:t>创建</w:t>
      </w:r>
      <w:r>
        <w:rPr>
          <w:rFonts w:hint="default" w:ascii="Times New Roman" w:hAnsi="Times New Roman" w:eastAsia="仿宋_GB2312" w:cs="Times New Roman"/>
          <w:sz w:val="32"/>
          <w:szCs w:val="32"/>
          <w:lang w:val="en-US" w:eastAsia="zh-CN"/>
        </w:rPr>
        <w:t>毛家弄村、远景村</w:t>
      </w:r>
      <w:r>
        <w:rPr>
          <w:rFonts w:hint="default" w:ascii="Times New Roman" w:hAnsi="Times New Roman" w:eastAsia="仿宋_GB2312" w:cs="Times New Roman"/>
          <w:sz w:val="32"/>
          <w:szCs w:val="32"/>
        </w:rPr>
        <w:t>2个乡村振兴示范村</w:t>
      </w:r>
      <w:r>
        <w:rPr>
          <w:rFonts w:hint="default" w:ascii="Times New Roman" w:hAnsi="Times New Roman" w:eastAsia="仿宋_GB2312" w:cs="Times New Roman"/>
          <w:sz w:val="32"/>
          <w:szCs w:val="32"/>
          <w:lang w:val="en-US" w:eastAsia="zh-CN"/>
        </w:rPr>
        <w:t>，光明村、远景村、束里桥村、蔡家弄村</w:t>
      </w:r>
      <w:r>
        <w:rPr>
          <w:rFonts w:hint="default" w:ascii="Times New Roman" w:hAnsi="Times New Roman" w:eastAsia="仿宋_GB2312" w:cs="Times New Roman"/>
          <w:sz w:val="32"/>
          <w:szCs w:val="32"/>
        </w:rPr>
        <w:t>4个市级美丽乡村示范村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12个农民相对集中居住平移项目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惠及954户农民。</w:t>
      </w:r>
      <w:r>
        <w:rPr>
          <w:rFonts w:hint="default" w:ascii="Times New Roman" w:hAnsi="Times New Roman" w:eastAsia="仿宋_GB2312" w:cs="Times New Roman"/>
          <w:sz w:val="32"/>
          <w:szCs w:val="32"/>
        </w:rPr>
        <w:t>建成高标准农田841亩、设施菜田338亩，创建绿色生产基地4856.38亩。完成4431户小三园建设，乡村振兴示范村实现全覆盖。创新设立罗村公司村集投资平台，年投资收益突破2000万元。有效撬动金融资本参与乡村振兴，引入社会投资8亿元，盘活集体闲置资产落地项目17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享宝山文香罗店，誉活力乡村之美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主题路线入选2024年上海美丽乡村休闲旅游精品路线。天平村</w:t>
      </w:r>
      <w:r>
        <w:rPr>
          <w:rFonts w:hint="default" w:ascii="Times New Roman" w:hAnsi="Times New Roman" w:eastAsia="仿宋_GB2312" w:cs="Times New Roman"/>
          <w:sz w:val="32"/>
          <w:szCs w:val="32"/>
          <w:lang w:eastAsia="zh-CN"/>
        </w:rPr>
        <w:t>荣获</w:t>
      </w:r>
      <w:r>
        <w:rPr>
          <w:rFonts w:hint="default" w:ascii="Times New Roman" w:hAnsi="Times New Roman" w:eastAsia="仿宋_GB2312" w:cs="Times New Roman"/>
          <w:sz w:val="32"/>
          <w:szCs w:val="32"/>
        </w:rPr>
        <w:t>全国一村一品示范村、全国乡村特色产业亿元村、全国乡村治理示范村、全国文明村等6项国家级荣誉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远景村获评上海市乡村旅游重点村，</w:t>
      </w:r>
      <w:r>
        <w:rPr>
          <w:rFonts w:hint="default" w:ascii="Times New Roman" w:hAnsi="Times New Roman" w:eastAsia="仿宋_GB2312" w:cs="Times New Roman"/>
          <w:sz w:val="32"/>
          <w:szCs w:val="32"/>
          <w:lang w:eastAsia="zh-CN"/>
        </w:rPr>
        <w:t>罗店</w:t>
      </w:r>
      <w:r>
        <w:rPr>
          <w:rFonts w:hint="default" w:ascii="Times New Roman" w:hAnsi="Times New Roman" w:eastAsia="仿宋_GB2312" w:cs="Times New Roman"/>
          <w:sz w:val="32"/>
          <w:szCs w:val="32"/>
        </w:rPr>
        <w:t>民俗画入选全国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一县一品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特色文化艺术名录。</w:t>
      </w:r>
    </w:p>
    <w:p w14:paraId="3C49D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eastAsia="zh-CN"/>
        </w:rPr>
      </w:pPr>
      <w:bookmarkStart w:id="6" w:name="_Toc25443"/>
      <w:bookmarkStart w:id="7" w:name="_Toc7772"/>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新阶段发展环境分析</w:t>
      </w:r>
      <w:bookmarkEnd w:id="6"/>
      <w:bookmarkEnd w:id="7"/>
    </w:p>
    <w:p w14:paraId="026A2A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eastAsia="zh-CN"/>
        </w:rPr>
      </w:pPr>
      <w:bookmarkStart w:id="8" w:name="_Toc5915"/>
      <w:r>
        <w:rPr>
          <w:rFonts w:hint="default" w:ascii="Times New Roman" w:hAnsi="Times New Roman" w:eastAsia="楷体_GB2312" w:cs="Times New Roman"/>
          <w:b/>
          <w:bCs/>
          <w:sz w:val="32"/>
          <w:szCs w:val="32"/>
          <w:lang w:eastAsia="zh-CN"/>
        </w:rPr>
        <w:t>（一）优势机遇</w:t>
      </w:r>
      <w:bookmarkEnd w:id="8"/>
    </w:p>
    <w:p w14:paraId="7F2F3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从全市层面来看，“十五五”期间，上海继续把集成电路、生物医药、人工智能等三大先导产业作为主攻方向，不断培育发展新质生产力。对罗店镇而言，作为上海北部门户，依托沪渝蓉高铁、沪太路、</w:t>
      </w:r>
      <w:r>
        <w:rPr>
          <w:rFonts w:hint="default" w:ascii="Times New Roman" w:hAnsi="Times New Roman" w:eastAsia="仿宋_GB2312" w:cs="Times New Roman"/>
          <w:sz w:val="32"/>
          <w:szCs w:val="32"/>
          <w:lang w:val="en-US" w:eastAsia="zh-CN"/>
        </w:rPr>
        <w:t>S7、G1503、</w:t>
      </w:r>
      <w:r>
        <w:rPr>
          <w:rFonts w:hint="default" w:ascii="Times New Roman" w:hAnsi="Times New Roman" w:eastAsia="仿宋_GB2312" w:cs="Times New Roman"/>
          <w:sz w:val="32"/>
          <w:szCs w:val="32"/>
          <w:lang w:eastAsia="zh-CN"/>
        </w:rPr>
        <w:t>轨道交通7号线等交通，可深度参与长三角一体化生物医药、</w:t>
      </w:r>
      <w:r>
        <w:rPr>
          <w:rFonts w:hint="eastAsia" w:ascii="Times New Roman" w:hAnsi="Times New Roman" w:eastAsia="仿宋_GB2312" w:cs="Times New Roman"/>
          <w:sz w:val="32"/>
          <w:szCs w:val="32"/>
          <w:lang w:eastAsia="zh-CN"/>
        </w:rPr>
        <w:t>新材料</w:t>
      </w:r>
      <w:r>
        <w:rPr>
          <w:rFonts w:hint="default" w:ascii="Times New Roman" w:hAnsi="Times New Roman" w:eastAsia="仿宋_GB2312" w:cs="Times New Roman"/>
          <w:sz w:val="32"/>
          <w:szCs w:val="32"/>
          <w:lang w:eastAsia="zh-CN"/>
        </w:rPr>
        <w:t>产业链分工，积极承接“张江研发、苏州回流”的创新成果。此外，罗店镇被纳入上海市“南北转型”战略重点区域，通过“城中村”改造和TOD开发，可提升城市能级，与宝山主城区形成功能互补，打造北上海产城融合示范区。</w:t>
      </w:r>
    </w:p>
    <w:p w14:paraId="6F5E8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从全区层面来看，宝山将深化“南北转型”战略，推动“六大产业”向高端化集群化发展，加快构建“一核两翼”发展格局，全面建设“四个城区”。而罗店镇位于“西科创”聚集带，作为生物医药、</w:t>
      </w:r>
      <w:r>
        <w:rPr>
          <w:rFonts w:hint="eastAsia" w:ascii="Times New Roman" w:hAnsi="Times New Roman" w:eastAsia="仿宋_GB2312" w:cs="Times New Roman"/>
          <w:sz w:val="32"/>
          <w:szCs w:val="32"/>
          <w:lang w:eastAsia="zh-CN"/>
        </w:rPr>
        <w:t>新材料</w:t>
      </w:r>
      <w:r>
        <w:rPr>
          <w:rFonts w:hint="default" w:ascii="Times New Roman" w:hAnsi="Times New Roman" w:eastAsia="仿宋_GB2312" w:cs="Times New Roman"/>
          <w:sz w:val="32"/>
          <w:szCs w:val="32"/>
          <w:lang w:eastAsia="zh-CN"/>
        </w:rPr>
        <w:t>产业核心承载区，可依托临港东方生命港、国盛宝山药谷等重大项目，吸引跨国企业地区总部和研发中心入驻，形成“研发-制造-服务”全链条布局。同时，可借势发展</w:t>
      </w:r>
      <w:r>
        <w:rPr>
          <w:rFonts w:hint="eastAsia" w:ascii="Times New Roman" w:hAnsi="Times New Roman" w:eastAsia="仿宋_GB2312" w:cs="Times New Roman"/>
          <w:sz w:val="32"/>
          <w:szCs w:val="32"/>
          <w:lang w:eastAsia="zh-CN"/>
        </w:rPr>
        <w:t>锦邑产城融合示范</w:t>
      </w:r>
      <w:r>
        <w:rPr>
          <w:rFonts w:hint="default" w:ascii="Times New Roman" w:hAnsi="Times New Roman" w:eastAsia="仿宋_GB2312" w:cs="Times New Roman"/>
          <w:sz w:val="32"/>
          <w:szCs w:val="32"/>
          <w:lang w:eastAsia="zh-CN"/>
        </w:rPr>
        <w:t>区，配合引入“双一流”院校相关科研和产业打造新校区，实现产学研一体化。</w:t>
      </w:r>
    </w:p>
    <w:p w14:paraId="4516D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从镇级层面来看，罗店镇正面临产业体系重塑与城市空间重构的双重机遇。面向“十五五”，将通过“科创驱动产业跃升、古镇焕新城乡共融、生态赋能宜居典范”，抓住市级战略规划、区级资源倾斜与镇域特色强化的三重红利，重点突破生物医药全产业链、文旅消费新场景、乡村振兴新模式，打造上海北部产城融合高质量发展标杆。</w:t>
      </w:r>
    </w:p>
    <w:p w14:paraId="30FD8C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eastAsia="zh-CN"/>
        </w:rPr>
      </w:pPr>
      <w:bookmarkStart w:id="9" w:name="_Toc5047"/>
      <w:r>
        <w:rPr>
          <w:rFonts w:hint="default" w:ascii="Times New Roman" w:hAnsi="Times New Roman" w:eastAsia="楷体_GB2312" w:cs="Times New Roman"/>
          <w:b/>
          <w:bCs/>
          <w:sz w:val="32"/>
          <w:szCs w:val="32"/>
          <w:lang w:eastAsia="zh-CN"/>
        </w:rPr>
        <w:t>（二）困难挑战</w:t>
      </w:r>
      <w:bookmarkEnd w:id="9"/>
    </w:p>
    <w:p w14:paraId="3B34EA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1、产业结构优化与新兴产业培育面临挑战</w:t>
      </w:r>
    </w:p>
    <w:p w14:paraId="4D5AF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罗店镇正处在产业转型的关键阶段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传统产业在经济中仍占相当比重，而生物医药等战略性新兴产业虽已初步形成集聚效应，但其产值贡献和产业链带动能力仍需时间进一步培育和释放。同时，建筑业、房地产业的周期性调整对镇级财政的持续稳健运行构成了现实考验。未来发展的关键在于推动新兴产业从“企业集聚”向“产业集群”深化，提升产业生态的韧性和内生动力。</w:t>
      </w:r>
    </w:p>
    <w:p w14:paraId="1291A5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2、商业活力提升与消费能级挖掘有待加强</w:t>
      </w:r>
    </w:p>
    <w:p w14:paraId="242EF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尽管罗店镇拥有美兰湖等特色资源，但商业发展在有效满足产业园区高素质就业人群的高品质、多元化消费需求，以及动迁安置区、农村集中居住区居民的多层次生活需求方面，仍有提升空间。如何进一步优化商业布局，培育与区域特色、人口结构精准匹配的消费新场景和新业态，避免同质化，从而激发内需潜力，仍是需重点关注的课题。</w:t>
      </w:r>
    </w:p>
    <w:p w14:paraId="785CB8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3、城市精细化治理与生态环境建设需持续深化</w:t>
      </w:r>
    </w:p>
    <w:p w14:paraId="2EADC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市治理迈向精细化、智慧化仍有较长的路要走。在生态环境方面，需持续巩固污染防治成果，完善垃圾分类、河道治理等工作的长效机制，推动生态环境质量持续稳定向好。这要求在城市管理实践中不断探索更高效、更可持续的治理模式。</w:t>
      </w:r>
    </w:p>
    <w:p w14:paraId="0309BA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4、古镇更新可持续发展需破解复杂难题</w:t>
      </w:r>
    </w:p>
    <w:p w14:paraId="0FFF6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罗店古镇的更新保护是一项系统工程，涉及历史文脉传承、居民搬迁安置、新产业导入和商业氛围营造等多个层面，在实际推进中，普遍会遇到资金平衡、政策配套等现实挑战。如何在不失“古镇韵”的前提下，有效提升区域的商业活力和文化影响力，实现可持续发展，是古镇焕新进程中需要不断探索的核心议题。</w:t>
      </w:r>
    </w:p>
    <w:p w14:paraId="7FBA21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5、公共服务均衡优质供给存在提升空间</w:t>
      </w:r>
    </w:p>
    <w:p w14:paraId="62456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医疗、养老等公共服务资源在城乡之间、不同社区之间的配置仍需进一步优化，农村地区和一些新建社区的公共服务设施相对薄弱，与服务需求的快速增长之间存在一定差距。推动公共服务从“有”向“优”提升，实现更加均衡、优质的发展，是持续努力的方向。</w:t>
      </w:r>
    </w:p>
    <w:p w14:paraId="4D50FF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、区域联动与人才吸引留存机制有待完善</w:t>
      </w:r>
    </w:p>
    <w:p w14:paraId="7B431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增强不同功能区（如美兰湖新镇与罗店古镇、产业园区）之间的联动与融合，破解可能的“割裂感”，是提升区域整体活力的内在要求。同时，构建能够有效吸引并留住创新型、技能型人才的长效机制，为他们提供有竞争力的发展机会、优质的生活环境和完善的服务配套，对于区域的长期竞争力至关重要。</w:t>
      </w:r>
    </w:p>
    <w:p w14:paraId="438DF0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val="en-US" w:eastAsia="zh-CN"/>
        </w:rPr>
        <w:t>、城乡融合与集体经济发展路径需创新探索</w:t>
      </w:r>
    </w:p>
    <w:p w14:paraId="027C2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2"/>
          <w:lang w:val="en-US" w:eastAsia="zh-CN"/>
        </w:rPr>
        <w:t>在推动城乡融合发展中，如何有效促进美丽乡村的产业兴旺，探索壮大农村集体经济、带动农民持续增收的有效路径，是需要持续关注和实践创新的重点领域。</w:t>
      </w:r>
    </w:p>
    <w:p w14:paraId="7753948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华文中宋" w:cs="Times New Roman"/>
          <w:b/>
          <w:bCs/>
          <w:sz w:val="36"/>
          <w:szCs w:val="36"/>
          <w:lang w:val="en-US" w:eastAsia="zh-CN"/>
        </w:rPr>
      </w:pPr>
      <w:bookmarkStart w:id="10" w:name="_Toc12032"/>
      <w:bookmarkStart w:id="11" w:name="_Toc20807"/>
      <w:r>
        <w:rPr>
          <w:rFonts w:hint="default" w:ascii="Times New Roman" w:hAnsi="Times New Roman" w:eastAsia="华文中宋" w:cs="Times New Roman"/>
          <w:b/>
          <w:bCs/>
          <w:sz w:val="36"/>
          <w:szCs w:val="36"/>
          <w:lang w:val="en-US" w:eastAsia="zh-CN"/>
        </w:rPr>
        <w:t>第二部分 指导思想、基本原则和发展目标</w:t>
      </w:r>
      <w:bookmarkEnd w:id="10"/>
      <w:bookmarkEnd w:id="11"/>
    </w:p>
    <w:p w14:paraId="28002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5EAB2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2" w:name="_Toc1690"/>
      <w:bookmarkStart w:id="13" w:name="_Toc7761"/>
      <w:r>
        <w:rPr>
          <w:rFonts w:hint="default" w:ascii="Times New Roman" w:hAnsi="Times New Roman" w:eastAsia="黑体" w:cs="Times New Roman"/>
          <w:sz w:val="32"/>
          <w:szCs w:val="32"/>
          <w:lang w:val="en-US" w:eastAsia="zh-CN"/>
        </w:rPr>
        <w:t>一、指导思想</w:t>
      </w:r>
      <w:bookmarkEnd w:id="12"/>
      <w:bookmarkEnd w:id="13"/>
    </w:p>
    <w:p w14:paraId="06601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bookmarkStart w:id="14" w:name="_Toc24908"/>
      <w:bookmarkStart w:id="15" w:name="_Toc17416"/>
      <w:bookmarkStart w:id="16" w:name="_Toc25876"/>
      <w:r>
        <w:rPr>
          <w:rFonts w:hint="default" w:ascii="Times New Roman" w:hAnsi="Times New Roman" w:eastAsia="仿宋_GB2312" w:cs="Times New Roman"/>
          <w:sz w:val="32"/>
          <w:szCs w:val="32"/>
          <w:lang w:val="en-US" w:eastAsia="zh-CN"/>
        </w:rPr>
        <w:t>“十五五”时期是基本实现社会主义现代化夯实基础、全面发力的关键时期，必须坚持高质量发展作为首要任务，加快实现高水平科技自立自强，进一步全面深化改革，不断增进民生福祉，扎实推进全体人民共同富裕。要高举中国特色社会主义伟大旗帜，坚持以习近平新时代中国特色社会主义思想为指导，全面贯彻党的二十大及二十届历次全会精神，深入贯彻习近平总书记考察上海重要讲话精神，认真落实中央、市委、区委决策部署，立足新发展阶段，完整、准确、全面贯彻新发展理念，服务构建新发展格局，着力推动高质量发展。</w:t>
      </w:r>
    </w:p>
    <w:p w14:paraId="3264A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来五年，必须紧紧围绕上海深化建设“五个中心”、强化“四大功能”和宝山构建“一核两翼”发展格局、建设“四个城区”的战略要求，以推动经济社会发展为主线，以深化产业转型升级为主抓手，推进“美兰湖、创新药、古镇韵、乡村风”四大板块协同发展，统筹新型城镇化和乡村全面振兴，统筹高质量发展和高水平安全，奋力谱写“人文内涵丰富、一镇多貌秀美、产城融合发展、社会和谐稳定、百姓幸福安康”的金罗店新篇章，努力成为宝山“北转型”的产城融合实践典范区和上海北部城镇圈的中心镇。</w:t>
      </w:r>
      <w:bookmarkEnd w:id="14"/>
      <w:bookmarkEnd w:id="15"/>
      <w:bookmarkEnd w:id="16"/>
    </w:p>
    <w:p w14:paraId="571E6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7" w:name="_Toc15675"/>
      <w:bookmarkStart w:id="18" w:name="_Toc28956"/>
      <w:r>
        <w:rPr>
          <w:rFonts w:hint="default" w:ascii="Times New Roman" w:hAnsi="Times New Roman" w:eastAsia="黑体" w:cs="Times New Roman"/>
          <w:sz w:val="32"/>
          <w:szCs w:val="32"/>
          <w:lang w:val="en-US" w:eastAsia="zh-CN"/>
        </w:rPr>
        <w:t>二、基本原则</w:t>
      </w:r>
      <w:bookmarkEnd w:id="17"/>
      <w:bookmarkEnd w:id="18"/>
    </w:p>
    <w:p w14:paraId="7A254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罗店镇“十五五”时期的发展，要坚持以下原则：</w:t>
      </w:r>
    </w:p>
    <w:p w14:paraId="332B53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一是坚持党的全面领导，强化政治保障。</w:t>
      </w:r>
      <w:r>
        <w:rPr>
          <w:rFonts w:hint="default" w:ascii="Times New Roman" w:hAnsi="Times New Roman" w:eastAsia="仿宋_GB2312" w:cs="Times New Roman"/>
          <w:sz w:val="32"/>
          <w:szCs w:val="32"/>
          <w:lang w:val="en-US" w:eastAsia="zh-CN"/>
        </w:rPr>
        <w:t>要充分发挥镇党委总揽全局、协调各方的领导核心作用，把党的领导贯穿规划实施全过程、各领域，确保罗店发展始终沿着正确方向前进。</w:t>
      </w:r>
    </w:p>
    <w:p w14:paraId="5220BC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二是坚持规划战略引领，优化空间格局。</w:t>
      </w:r>
      <w:r>
        <w:rPr>
          <w:rFonts w:hint="default" w:ascii="Times New Roman" w:hAnsi="Times New Roman" w:eastAsia="仿宋_GB2312" w:cs="Times New Roman"/>
          <w:sz w:val="32"/>
          <w:szCs w:val="32"/>
          <w:lang w:val="en-US" w:eastAsia="zh-CN"/>
        </w:rPr>
        <w:t>强化规划的前瞻性、科学性和约束力，一张蓝图绘到底。以高水平规划统筹空间、产业、基础设施、公共服务布局，引领城市精明增长和可持续发展。</w:t>
      </w:r>
    </w:p>
    <w:p w14:paraId="69FD4C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三是坚持创新驱动发展，培育新质生产力。</w:t>
      </w:r>
      <w:r>
        <w:rPr>
          <w:rFonts w:hint="default" w:ascii="Times New Roman" w:hAnsi="Times New Roman" w:eastAsia="仿宋_GB2312" w:cs="Times New Roman"/>
          <w:sz w:val="32"/>
          <w:szCs w:val="32"/>
          <w:lang w:val="en-US" w:eastAsia="zh-CN"/>
        </w:rPr>
        <w:t>将科技创新摆在核心位置，强化企业创新主体地位，推动创新链产业链资金链人才链深度融合。大力发展生物医药等战略性新兴产业和数字经济等未来产业，加快形成新质生产力。</w:t>
      </w:r>
    </w:p>
    <w:p w14:paraId="75EAF7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四是坚持深化产城融合，提升综合能级。</w:t>
      </w:r>
      <w:r>
        <w:rPr>
          <w:rFonts w:hint="default" w:ascii="Times New Roman" w:hAnsi="Times New Roman" w:eastAsia="仿宋_GB2312" w:cs="Times New Roman"/>
          <w:sz w:val="32"/>
          <w:szCs w:val="32"/>
          <w:lang w:val="en-US" w:eastAsia="zh-CN"/>
        </w:rPr>
        <w:t>以产兴城、以城促产、产城人互动。通过产业集聚吸引人才，通过城市功能完善留住人才，打造宜居宜业宜游的高品质空间，实现产业、城市、人口协调发展。</w:t>
      </w:r>
    </w:p>
    <w:p w14:paraId="30B8E5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五是坚持以人民为中心，增进民生福祉。</w:t>
      </w:r>
      <w:r>
        <w:rPr>
          <w:rFonts w:hint="default" w:ascii="Times New Roman" w:hAnsi="Times New Roman" w:eastAsia="仿宋_GB2312" w:cs="Times New Roman"/>
          <w:sz w:val="32"/>
          <w:szCs w:val="32"/>
          <w:lang w:val="en-US" w:eastAsia="zh-CN"/>
        </w:rPr>
        <w:t>践行人民城市理念，把让人民宜居安居放在首位，把最好的资源留给人民。持续加大民生投入，用心用情用力解决好群众急难愁盼问题，扎实推进共同富裕，让发展成果更多更公平惠及全体人民。</w:t>
      </w:r>
    </w:p>
    <w:p w14:paraId="578931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六是坚持生态优先绿色发展，建设美丽家园。</w:t>
      </w:r>
      <w:r>
        <w:rPr>
          <w:rFonts w:hint="default" w:ascii="Times New Roman" w:hAnsi="Times New Roman" w:eastAsia="仿宋_GB2312" w:cs="Times New Roman"/>
          <w:sz w:val="32"/>
          <w:szCs w:val="32"/>
          <w:lang w:val="en-US" w:eastAsia="zh-CN"/>
        </w:rPr>
        <w:t>牢固树立和践行绿水青山就是金山银山的理念，协同推进降碳、减污、扩绿、增长，建设人与自然和谐共生的现代化。</w:t>
      </w:r>
    </w:p>
    <w:p w14:paraId="545A86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七是坚持统筹发展和安全，筑牢底线底板。</w:t>
      </w:r>
      <w:r>
        <w:rPr>
          <w:rFonts w:hint="default" w:ascii="Times New Roman" w:hAnsi="Times New Roman" w:eastAsia="仿宋_GB2312" w:cs="Times New Roman"/>
          <w:sz w:val="32"/>
          <w:szCs w:val="32"/>
          <w:lang w:val="en-US" w:eastAsia="zh-CN"/>
        </w:rPr>
        <w:t>增强忧患意识，树立底线思维，有效防范化解各类风险挑战，建设更高水平的平安罗店，以新安全格局保障新发展格局。</w:t>
      </w:r>
    </w:p>
    <w:p w14:paraId="62ECE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19" w:name="_Toc4288"/>
      <w:bookmarkStart w:id="20" w:name="_Toc8223"/>
      <w:r>
        <w:rPr>
          <w:rFonts w:hint="default" w:ascii="Times New Roman" w:hAnsi="Times New Roman" w:eastAsia="黑体" w:cs="Times New Roman"/>
          <w:sz w:val="32"/>
          <w:szCs w:val="32"/>
          <w:lang w:val="en-US" w:eastAsia="zh-CN"/>
        </w:rPr>
        <w:t>三、发展目标</w:t>
      </w:r>
      <w:bookmarkEnd w:id="19"/>
      <w:bookmarkEnd w:id="20"/>
    </w:p>
    <w:p w14:paraId="73258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700年历史底蕴为魂，以美兰湖生态为脉，以生物医药创新为核，绘就“北转型”产城融合新画卷。到2030年，罗店镇经济社会发展迈上新台阶，“美兰湖、创新药、古镇韵、乡村风”空间新格局基本形成，产城融合深度发展，城市功能显著提升，乡村振兴取得实质性进展，人民生活更加幸福美好，治理效能达到新水平，努力建设成为：</w:t>
      </w:r>
    </w:p>
    <w:p w14:paraId="4D9E06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现代化产业体系的新高地：</w:t>
      </w:r>
      <w:r>
        <w:rPr>
          <w:rFonts w:hint="default" w:ascii="Times New Roman" w:hAnsi="Times New Roman" w:eastAsia="仿宋_GB2312" w:cs="Times New Roman"/>
          <w:sz w:val="32"/>
          <w:szCs w:val="32"/>
          <w:lang w:val="en-US" w:eastAsia="zh-CN"/>
        </w:rPr>
        <w:t>形成以生物医药、新材料、智能制造为主导的先进制造业集群，数字经济与实体经济深度融合，产业转型成效显著，现代服务业能级全面提升。</w:t>
      </w:r>
    </w:p>
    <w:p w14:paraId="15D68E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近悦远来的魅力品质新市镇：</w:t>
      </w:r>
      <w:r>
        <w:rPr>
          <w:rFonts w:hint="default" w:ascii="Times New Roman" w:hAnsi="Times New Roman" w:eastAsia="仿宋_GB2312" w:cs="Times New Roman"/>
          <w:sz w:val="32"/>
          <w:szCs w:val="32"/>
          <w:lang w:val="en-US" w:eastAsia="zh-CN"/>
        </w:rPr>
        <w:t>“一镇多貌”特色更加彰显，城市基础设施完善、管理精细智能、环境优美宜居、文化繁荣兴盛，成为上海北部知名的宜居宜业宜游目的地。</w:t>
      </w:r>
    </w:p>
    <w:p w14:paraId="1E213F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城乡融合发展的实践典范区：</w:t>
      </w:r>
      <w:r>
        <w:rPr>
          <w:rFonts w:hint="default" w:ascii="Times New Roman" w:hAnsi="Times New Roman" w:eastAsia="仿宋_GB2312" w:cs="Times New Roman"/>
          <w:sz w:val="32"/>
          <w:szCs w:val="32"/>
          <w:lang w:val="en-US" w:eastAsia="zh-CN"/>
        </w:rPr>
        <w:t>乡村振兴内涵更加丰富，农业高质高效、乡村宜居宜业、农民富裕富足，形成可复制可推广的城乡融合“罗店经验”。</w:t>
      </w:r>
    </w:p>
    <w:p w14:paraId="4481C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共建共治共享的幸福和谐地：</w:t>
      </w:r>
      <w:r>
        <w:rPr>
          <w:rFonts w:hint="default" w:ascii="Times New Roman" w:hAnsi="Times New Roman" w:eastAsia="仿宋_GB2312" w:cs="Times New Roman"/>
          <w:sz w:val="32"/>
          <w:szCs w:val="32"/>
          <w:lang w:val="en-US" w:eastAsia="zh-CN"/>
        </w:rPr>
        <w:t>公共服务优质均衡，社会保障坚实有力，治理体系高效完善，社会大局平安稳定，人民群众的获得感、幸福感、安全感显著增强。</w:t>
      </w:r>
    </w:p>
    <w:p w14:paraId="79B03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具体目标：</w:t>
      </w:r>
    </w:p>
    <w:p w14:paraId="0B14B6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000000"/>
          <w:spacing w:val="0"/>
          <w:sz w:val="31"/>
          <w:szCs w:val="31"/>
        </w:rPr>
      </w:pPr>
      <w:r>
        <w:rPr>
          <w:rFonts w:hint="default" w:ascii="Times New Roman" w:hAnsi="Times New Roman" w:eastAsia="楷体_GB2312" w:cs="Times New Roman"/>
          <w:b/>
          <w:bCs/>
          <w:sz w:val="32"/>
          <w:szCs w:val="32"/>
          <w:lang w:val="en-US" w:eastAsia="zh-CN"/>
        </w:rPr>
        <w:t>一是经济产业实现高质量发展。</w:t>
      </w:r>
      <w:r>
        <w:rPr>
          <w:rFonts w:hint="default" w:ascii="Times New Roman" w:hAnsi="Times New Roman" w:eastAsia="仿宋_GB2312" w:cs="Times New Roman"/>
          <w:i w:val="0"/>
          <w:iCs w:val="0"/>
          <w:caps w:val="0"/>
          <w:color w:val="000000"/>
          <w:spacing w:val="0"/>
          <w:sz w:val="31"/>
          <w:szCs w:val="31"/>
        </w:rPr>
        <w:t>保持经济持续健康增长，地方财政收入、固定资产投资、</w:t>
      </w:r>
      <w:r>
        <w:rPr>
          <w:rFonts w:hint="default" w:ascii="Times New Roman" w:hAnsi="Times New Roman" w:eastAsia="仿宋_GB2312" w:cs="Times New Roman"/>
          <w:i w:val="0"/>
          <w:iCs w:val="0"/>
          <w:caps w:val="0"/>
          <w:color w:val="000000"/>
          <w:spacing w:val="0"/>
          <w:sz w:val="31"/>
          <w:szCs w:val="31"/>
          <w:lang w:eastAsia="zh-CN"/>
        </w:rPr>
        <w:t>工业总产值</w:t>
      </w:r>
      <w:r>
        <w:rPr>
          <w:rFonts w:hint="default" w:ascii="Times New Roman" w:hAnsi="Times New Roman" w:eastAsia="仿宋_GB2312" w:cs="Times New Roman"/>
          <w:i w:val="0"/>
          <w:iCs w:val="0"/>
          <w:caps w:val="0"/>
          <w:color w:val="000000"/>
          <w:spacing w:val="0"/>
          <w:sz w:val="31"/>
          <w:szCs w:val="31"/>
        </w:rPr>
        <w:t>等主要经济指标增速</w:t>
      </w:r>
      <w:r>
        <w:rPr>
          <w:rFonts w:hint="default" w:ascii="Times New Roman" w:hAnsi="Times New Roman" w:eastAsia="仿宋_GB2312" w:cs="Times New Roman"/>
          <w:i w:val="0"/>
          <w:iCs w:val="0"/>
          <w:caps w:val="0"/>
          <w:color w:val="000000"/>
          <w:spacing w:val="0"/>
          <w:sz w:val="31"/>
          <w:szCs w:val="31"/>
          <w:lang w:eastAsia="zh-CN"/>
        </w:rPr>
        <w:t>高</w:t>
      </w:r>
      <w:r>
        <w:rPr>
          <w:rFonts w:hint="default" w:ascii="Times New Roman" w:hAnsi="Times New Roman" w:eastAsia="仿宋_GB2312" w:cs="Times New Roman"/>
          <w:i w:val="0"/>
          <w:iCs w:val="0"/>
          <w:caps w:val="0"/>
          <w:color w:val="000000"/>
          <w:spacing w:val="0"/>
          <w:sz w:val="31"/>
          <w:szCs w:val="31"/>
        </w:rPr>
        <w:t>于全区平均水平。产业结构更加优化，生物医药产业产值占比显著提升，新质生产力贡献度加大。</w:t>
      </w:r>
    </w:p>
    <w:p w14:paraId="386B37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二是创新驱动实现新突破。</w:t>
      </w:r>
      <w:r>
        <w:rPr>
          <w:rFonts w:hint="default" w:ascii="Times New Roman" w:hAnsi="Times New Roman" w:eastAsia="仿宋_GB2312" w:cs="Times New Roman"/>
          <w:sz w:val="32"/>
          <w:szCs w:val="32"/>
          <w:lang w:val="en-US" w:eastAsia="zh-CN"/>
        </w:rPr>
        <w:t>全社会研发投入强度持续提高。高新技术企业、专精特新企业数量稳步增长。北上海生物医药产业园集聚效应更加凸显，落地企业数量、产值规模、创新成果（如进入临床、获批上市新药）实现新突破。</w:t>
      </w:r>
    </w:p>
    <w:p w14:paraId="5AA60B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三是社会发展水平全面提升。</w:t>
      </w:r>
      <w:r>
        <w:rPr>
          <w:rFonts w:hint="default" w:ascii="Times New Roman" w:hAnsi="Times New Roman" w:eastAsia="仿宋_GB2312" w:cs="Times New Roman"/>
          <w:sz w:val="32"/>
          <w:szCs w:val="32"/>
          <w:lang w:val="en-US" w:eastAsia="zh-CN"/>
        </w:rPr>
        <w:t>城市更新取得重大进展，古镇保护与开发更加协调。基础设施网络更加完善，“五网”融合水平提升。生态环境质量持续改善，空气质量优良率、水体水质达标率等保持领先。住房保障体系更加健全。</w:t>
      </w:r>
    </w:p>
    <w:p w14:paraId="32BE8A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四是人民幸福指数持续向好。</w:t>
      </w:r>
      <w:r>
        <w:rPr>
          <w:rFonts w:hint="default" w:ascii="Times New Roman" w:hAnsi="Times New Roman" w:eastAsia="仿宋_GB2312" w:cs="Times New Roman"/>
          <w:sz w:val="32"/>
          <w:szCs w:val="32"/>
          <w:lang w:val="en-US" w:eastAsia="zh-CN"/>
        </w:rPr>
        <w:t>居民人均可支配收入增长与经济增长基本同步。就业更加充分更高质量。教育、医疗、养老、文化、体育等公共服务供给更加优质均衡、便捷可及。社会保障覆盖面和保障水平持续提升。</w:t>
      </w:r>
    </w:p>
    <w:p w14:paraId="6B67D0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五是社会治理能力更加完善。</w:t>
      </w:r>
      <w:r>
        <w:rPr>
          <w:rFonts w:hint="default" w:ascii="Times New Roman" w:hAnsi="Times New Roman" w:eastAsia="仿宋_GB2312" w:cs="Times New Roman"/>
          <w:i w:val="0"/>
          <w:iCs w:val="0"/>
          <w:caps w:val="0"/>
          <w:color w:val="000000"/>
          <w:spacing w:val="0"/>
          <w:sz w:val="31"/>
          <w:szCs w:val="31"/>
        </w:rPr>
        <w:t>党建引领基层治理效能显著提升。自治、法治、德治相结合的乡村治理体系更加完善。重大风险防范化解能力增强，公共安全水平全面提高。法治</w:t>
      </w:r>
      <w:r>
        <w:rPr>
          <w:rFonts w:hint="default" w:ascii="Times New Roman" w:hAnsi="Times New Roman" w:eastAsia="仿宋_GB2312" w:cs="Times New Roman"/>
          <w:i w:val="0"/>
          <w:iCs w:val="0"/>
          <w:caps w:val="0"/>
          <w:color w:val="000000"/>
          <w:spacing w:val="0"/>
          <w:sz w:val="31"/>
          <w:szCs w:val="31"/>
          <w:lang w:eastAsia="zh-CN"/>
        </w:rPr>
        <w:t>政府</w:t>
      </w:r>
      <w:r>
        <w:rPr>
          <w:rFonts w:hint="default" w:ascii="Times New Roman" w:hAnsi="Times New Roman" w:eastAsia="仿宋_GB2312" w:cs="Times New Roman"/>
          <w:i w:val="0"/>
          <w:iCs w:val="0"/>
          <w:caps w:val="0"/>
          <w:color w:val="000000"/>
          <w:spacing w:val="0"/>
          <w:sz w:val="31"/>
          <w:szCs w:val="31"/>
        </w:rPr>
        <w:t>建设深入推进。</w:t>
      </w:r>
    </w:p>
    <w:p w14:paraId="4AC88B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_GB2312" w:cs="Times New Roman"/>
          <w:b/>
          <w:bCs/>
          <w:sz w:val="32"/>
          <w:szCs w:val="32"/>
          <w:lang w:val="en-US" w:eastAsia="zh-CN"/>
        </w:rPr>
        <w:t>六是乡村振兴内涵更加丰厚。</w:t>
      </w:r>
      <w:r>
        <w:rPr>
          <w:rFonts w:hint="default" w:ascii="Times New Roman" w:hAnsi="Times New Roman" w:eastAsia="仿宋_GB2312" w:cs="Times New Roman"/>
          <w:i w:val="0"/>
          <w:iCs w:val="0"/>
          <w:caps w:val="0"/>
          <w:color w:val="000000"/>
          <w:spacing w:val="0"/>
          <w:sz w:val="32"/>
          <w:szCs w:val="32"/>
          <w:lang w:val="en-US" w:eastAsia="zh-CN"/>
        </w:rPr>
        <w:t>农村人居环境全域提升，美丽乡村建设水平保持全市前列。乡村产业特色化、融合化、品牌化发展取得突破，村集体经济实力和农民收入持续增长。乡村文化繁荣发展，治理有效和谐有序。</w:t>
      </w:r>
    </w:p>
    <w:p w14:paraId="6CCF1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21" w:name="_Toc30864"/>
      <w:bookmarkStart w:id="22" w:name="_Toc9005"/>
      <w:r>
        <w:rPr>
          <w:rFonts w:hint="default" w:ascii="Times New Roman" w:hAnsi="Times New Roman" w:eastAsia="黑体" w:cs="Times New Roman"/>
          <w:sz w:val="32"/>
          <w:szCs w:val="32"/>
          <w:lang w:val="en-US" w:eastAsia="zh-CN"/>
        </w:rPr>
        <w:t>四、发展布局</w:t>
      </w:r>
      <w:bookmarkEnd w:id="21"/>
      <w:bookmarkEnd w:id="22"/>
    </w:p>
    <w:p w14:paraId="5E3B7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立足罗店镇域资源禀赋、发展基础和未来趋势，构建“美兰湖、创新药、古镇韵、乡村风”的空间发展新格局。</w:t>
      </w:r>
    </w:p>
    <w:p w14:paraId="200894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1、美兰湖板块</w:t>
      </w:r>
    </w:p>
    <w:p w14:paraId="19B6C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加强产业与功能集聚，构建一个充满活力的生态系统，聚焦高品质公共服务、商务办公、特色商业、旅游休闲、国际社区，重点发展总部经济、现代服务业、文体旅产业，将美兰湖区域打造成为上海北部辐射长三角的科创文旅新枢纽与生态型活力中心，宜居宜业宜游的科创湖区典范。</w:t>
      </w:r>
    </w:p>
    <w:p w14:paraId="0345CE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2、创新药板块</w:t>
      </w:r>
    </w:p>
    <w:p w14:paraId="0B79B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把生物医药作为产业升级的核心引擎，聚焦创新药、高端医疗器械、合成生物等研发与产业化，建设专业园区（智造空间）、公共服务平台、总部基地，推动产业从“企业集聚”向“产业集群”深化，提升产业链的韧性和竞争力，将北上海生物医药产业园打造成为上海生物医药产业“研发+制造+服务”全链条核心承载区和全球药谷的重要组成部分。</w:t>
      </w:r>
    </w:p>
    <w:p w14:paraId="238B52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3、古镇韵板块</w:t>
      </w:r>
    </w:p>
    <w:p w14:paraId="3EB79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一步注重平衡保护与开发，让古镇真正焕发持久魅力，聚焦文化保护传承、特色商业、民俗体验、休闲旅游、宜居社区，重点发展特色商业和民俗体验，鼓励在地手工艺、特色餐饮等原生业态，并积极推动非遗在乡村场景活化传承，打造金罗店历史文化核心体验区，城市有机更新特色样板区。</w:t>
      </w:r>
    </w:p>
    <w:p w14:paraId="10E4AC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4、乡村风板块</w:t>
      </w:r>
    </w:p>
    <w:p w14:paraId="65F9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断发展现代特色农业，并促进农文旅深度融合，聚焦生态休闲旅游、乡村文创、康养产业等新兴方向，保护传承水乡文化，深入推进乡村“四片叶子”的建设发展，打造沪派江南田园风貌展示区，城乡融合与和美乡村实践区。</w:t>
      </w:r>
    </w:p>
    <w:p w14:paraId="47713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rPr>
        <w:t>同时，通过强化交通连接、生态共保、功能互补、产业协同、治理联动，促进四大板块之间、城镇与乡村之间深度融合、协调发展，形成功能完善、特色鲜明、活力充沛的现代化新市镇整体风貌。</w:t>
      </w:r>
    </w:p>
    <w:p w14:paraId="645554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华文中宋" w:cs="Times New Roman"/>
          <w:b/>
          <w:bCs/>
          <w:sz w:val="36"/>
          <w:szCs w:val="36"/>
          <w:lang w:val="en-US" w:eastAsia="zh-CN"/>
        </w:rPr>
      </w:pPr>
      <w:bookmarkStart w:id="23" w:name="_Toc4416"/>
      <w:bookmarkStart w:id="24" w:name="_Toc30488"/>
      <w:r>
        <w:rPr>
          <w:rFonts w:hint="default" w:ascii="Times New Roman" w:hAnsi="Times New Roman" w:eastAsia="华文中宋" w:cs="Times New Roman"/>
          <w:b/>
          <w:bCs/>
          <w:sz w:val="36"/>
          <w:szCs w:val="36"/>
          <w:lang w:val="en-US" w:eastAsia="zh-CN"/>
        </w:rPr>
        <w:t>第三部分  “十五五”工作任务</w:t>
      </w:r>
      <w:bookmarkEnd w:id="23"/>
      <w:bookmarkEnd w:id="24"/>
    </w:p>
    <w:p w14:paraId="31A8F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00B4E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25" w:name="_Toc12803"/>
      <w:bookmarkStart w:id="26" w:name="_Toc31492"/>
      <w:r>
        <w:rPr>
          <w:rFonts w:hint="default" w:ascii="Times New Roman" w:hAnsi="Times New Roman" w:eastAsia="黑体" w:cs="Times New Roman"/>
          <w:sz w:val="32"/>
          <w:szCs w:val="32"/>
          <w:lang w:val="en-US" w:eastAsia="zh-CN"/>
        </w:rPr>
        <w:t>一、强化产业引领功能，培育经济高质量发展新动能</w:t>
      </w:r>
      <w:bookmarkEnd w:id="25"/>
      <w:bookmarkEnd w:id="26"/>
    </w:p>
    <w:p w14:paraId="4BF3B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lang w:val="en-US" w:eastAsia="zh-CN"/>
        </w:rPr>
      </w:pPr>
      <w:bookmarkStart w:id="27" w:name="_Toc23738"/>
      <w:r>
        <w:rPr>
          <w:rFonts w:hint="default" w:ascii="Times New Roman" w:hAnsi="Times New Roman" w:eastAsia="仿宋_GB2312" w:cs="Times New Roman"/>
          <w:sz w:val="32"/>
          <w:szCs w:val="32"/>
          <w:lang w:val="en-US" w:eastAsia="zh-CN"/>
        </w:rPr>
        <w:t>坚持智能化、绿色化、融合化方向，以科技创新为核心动力，强化高端产业引领功能，着力构建</w:t>
      </w:r>
      <w:r>
        <w:rPr>
          <w:rFonts w:hint="eastAsia" w:ascii="Times New Roman" w:hAnsi="Times New Roman" w:eastAsia="仿宋_GB2312" w:cs="Times New Roman"/>
          <w:sz w:val="32"/>
          <w:szCs w:val="32"/>
          <w:lang w:val="en-US" w:eastAsia="zh-CN"/>
        </w:rPr>
        <w:t>生物医药为主导的</w:t>
      </w:r>
      <w:r>
        <w:rPr>
          <w:rFonts w:hint="default" w:ascii="Times New Roman" w:hAnsi="Times New Roman" w:eastAsia="仿宋_GB2312" w:cs="Times New Roman"/>
          <w:sz w:val="32"/>
          <w:szCs w:val="32"/>
          <w:lang w:val="en-US" w:eastAsia="zh-CN"/>
        </w:rPr>
        <w:t>现代化产业体系，为宝山“北转型”注入强劲动能。</w:t>
      </w:r>
    </w:p>
    <w:p w14:paraId="478454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（一）打造生物医药</w:t>
      </w:r>
      <w:r>
        <w:rPr>
          <w:rFonts w:hint="eastAsia" w:ascii="Times New Roman" w:hAnsi="Times New Roman" w:eastAsia="楷体_GB2312" w:cs="Times New Roman"/>
          <w:b/>
          <w:bCs/>
          <w:sz w:val="32"/>
          <w:szCs w:val="32"/>
          <w:lang w:val="en-US" w:eastAsia="zh-CN"/>
        </w:rPr>
        <w:t>主导</w:t>
      </w:r>
      <w:r>
        <w:rPr>
          <w:rFonts w:hint="default" w:ascii="Times New Roman" w:hAnsi="Times New Roman" w:eastAsia="楷体_GB2312" w:cs="Times New Roman"/>
          <w:b/>
          <w:bCs/>
          <w:sz w:val="32"/>
          <w:szCs w:val="32"/>
          <w:lang w:val="en-US" w:eastAsia="zh-CN"/>
        </w:rPr>
        <w:t>产业集群新标杆</w:t>
      </w:r>
      <w:bookmarkEnd w:id="27"/>
    </w:p>
    <w:p w14:paraId="6B102D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1、打造北上海生物医药新高地。</w:t>
      </w:r>
      <w:r>
        <w:rPr>
          <w:rFonts w:hint="default" w:ascii="Times New Roman" w:hAnsi="Times New Roman" w:eastAsia="仿宋_GB2312" w:cs="Times New Roman"/>
          <w:sz w:val="32"/>
          <w:szCs w:val="32"/>
          <w:lang w:val="en-US" w:eastAsia="zh-CN"/>
        </w:rPr>
        <w:t>高标准构筑北上海生物医药产业园创新生态圈。通过“十四五”期间打下的坚实基础，在“十五五”期间实现跨越式发展，引入落地型企业50家，实现</w:t>
      </w:r>
      <w:r>
        <w:rPr>
          <w:rFonts w:hint="eastAsia" w:ascii="Times New Roman" w:hAnsi="Times New Roman" w:eastAsia="仿宋_GB2312" w:cs="Times New Roman"/>
          <w:sz w:val="32"/>
          <w:szCs w:val="32"/>
          <w:lang w:val="en-US" w:eastAsia="zh-CN"/>
        </w:rPr>
        <w:t>产业规模</w:t>
      </w:r>
      <w:r>
        <w:rPr>
          <w:rFonts w:hint="default" w:ascii="Times New Roman" w:hAnsi="Times New Roman" w:eastAsia="仿宋_GB2312" w:cs="Times New Roman"/>
          <w:sz w:val="32"/>
          <w:szCs w:val="32"/>
          <w:lang w:val="en-US" w:eastAsia="zh-CN"/>
        </w:rPr>
        <w:t>100亿元，形成中试放大有承揽、成果转化有承接、扩产增能有承载的产业发展新格局。加速优质项目落地进程，进一步推动园区企业从“孵化培育”转入“集聚产出”，强化长三角生物医药产业协同发展功能，全力打造成为市级“1+5+X”生物医药产业基地新标杆。</w:t>
      </w:r>
    </w:p>
    <w:p w14:paraId="2F2656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2、加强生物医药产业链协同创新能力。</w:t>
      </w:r>
      <w:r>
        <w:rPr>
          <w:rFonts w:hint="default" w:ascii="Times New Roman" w:hAnsi="Times New Roman" w:eastAsia="仿宋_GB2312" w:cs="Times New Roman"/>
          <w:sz w:val="32"/>
          <w:szCs w:val="32"/>
          <w:lang w:val="en-US" w:eastAsia="zh-CN"/>
        </w:rPr>
        <w:t>构建产学研用一体化创新体系，以生物医药及高端设备器械为主导，推动产业能级实现从量变到质变的飞跃。深化产医融合，促进本地企业与区内医疗机构合作，提升临床研究成果转化效率。支持企业加大研发投入，建设一批国家级、市级重点实验室和工程技术研究中心。积极引入国内外领先企业和创新团队，促进产业链上下游深度融合，形成协同创新的良好生态。</w:t>
      </w:r>
    </w:p>
    <w:p w14:paraId="374659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3、打造生物医药产融对接平台。</w:t>
      </w:r>
      <w:r>
        <w:rPr>
          <w:rFonts w:hint="default" w:ascii="Times New Roman" w:hAnsi="Times New Roman" w:eastAsia="仿宋_GB2312" w:cs="Times New Roman"/>
          <w:sz w:val="32"/>
          <w:szCs w:val="32"/>
          <w:lang w:val="en-US" w:eastAsia="zh-CN"/>
        </w:rPr>
        <w:t>联动国盛产投、金浦投资、上国投等资本，推动组建“生物医药产业基金联盟”，聚焦创新药、细胞治疗、生物制造等前沿领域加强布局。组建生物医药专项基金，通过资本赋能，遴选培育高成长性项目，撬动社会资本投入，构建支持生物医药产业创新发展的多元化投融资体系，为产业高质量发展注入强劲动力。</w:t>
      </w:r>
    </w:p>
    <w:p w14:paraId="72FF7B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4、推动与生物医药大院大所对接合作。</w:t>
      </w:r>
      <w:r>
        <w:rPr>
          <w:rFonts w:hint="default" w:ascii="Times New Roman" w:hAnsi="Times New Roman" w:eastAsia="仿宋_GB2312" w:cs="Times New Roman"/>
          <w:sz w:val="32"/>
          <w:szCs w:val="32"/>
          <w:lang w:val="en-US" w:eastAsia="zh-CN"/>
        </w:rPr>
        <w:t>加强与中科院免疫所、药物所、上大医学院等机构的紧密合作，形成大院大所与本土企业的高端人才联合培养机制，为罗店生物医药产业精准输送高素质的专业人才。推动产学研用深度融合，搭建科技成果转化平台，促进科技创新成果在罗店落地生根、开花结果。</w:t>
      </w:r>
    </w:p>
    <w:p w14:paraId="269A83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28" w:name="_Toc11908"/>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）布局新赛道培育多元产业新动能</w:t>
      </w:r>
    </w:p>
    <w:p w14:paraId="69B12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1、推动数字经济赋能产业升级。</w:t>
      </w:r>
      <w:r>
        <w:rPr>
          <w:rFonts w:hint="default" w:ascii="Times New Roman" w:hAnsi="Times New Roman" w:eastAsia="仿宋_GB2312" w:cs="Times New Roman"/>
          <w:sz w:val="32"/>
          <w:szCs w:val="32"/>
          <w:lang w:val="en-US" w:eastAsia="zh-CN"/>
        </w:rPr>
        <w:t>围绕生物医药、新材料等产业，提升产业链智能化水平，助力传统工业向生产性互联网服务转型，打造“AI+新药研发”创新集群。促进农文旅深度融合，为“金罗店稻米”地理标志产品部署区块链溯源系统，开发AR导览应用，联动龙船节打造沉浸式体验场景，培育数字化转型标杆项目。</w:t>
      </w:r>
    </w:p>
    <w:p w14:paraId="66B8B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2、探索低空经济促进产城协同。</w:t>
      </w:r>
      <w:r>
        <w:rPr>
          <w:rFonts w:hint="default" w:ascii="Times New Roman" w:hAnsi="Times New Roman" w:eastAsia="仿宋_GB2312" w:cs="Times New Roman"/>
          <w:sz w:val="32"/>
          <w:szCs w:val="32"/>
          <w:lang w:val="en-US" w:eastAsia="zh-CN"/>
        </w:rPr>
        <w:t>充分利用美兰湖水域及生态空间，打造低空旅游基地，开通观光、通勤、旅游等多层次航线。建设无人机应用创新中心，开通医药冷链配送专线，打造“湖光魅影”无人机灯光秀品牌，探索低空经济与城市发展的深度融合。</w:t>
      </w:r>
    </w:p>
    <w:p w14:paraId="192833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3、推动绿色低碳经济稳步发展。</w:t>
      </w:r>
      <w:r>
        <w:rPr>
          <w:rFonts w:hint="default" w:ascii="Times New Roman" w:hAnsi="Times New Roman" w:eastAsia="仿宋_GB2312" w:cs="Times New Roman"/>
          <w:sz w:val="32"/>
          <w:szCs w:val="32"/>
          <w:lang w:val="en-US" w:eastAsia="zh-CN"/>
        </w:rPr>
        <w:t>统筹产业结构调整、能源结构优化与生态保护，协同推进降碳、减污、扩绿、增长，以经济社会发展的“含绿量”提升增长的“含金量”。推动传统产业高端化、智能化、绿色化改造，大力培育绿色低碳产业，加快发展光伏等清洁能源产业链。</w:t>
      </w:r>
    </w:p>
    <w:p w14:paraId="70E070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4、构建银发经济生态圈。</w:t>
      </w:r>
      <w:r>
        <w:rPr>
          <w:rFonts w:hint="default" w:ascii="Times New Roman" w:hAnsi="Times New Roman" w:eastAsia="仿宋_GB2312" w:cs="Times New Roman"/>
          <w:sz w:val="32"/>
          <w:szCs w:val="32"/>
          <w:lang w:val="en-US" w:eastAsia="zh-CN"/>
        </w:rPr>
        <w:t>推动 “医养游文农”五维融合。实现医疗支撑，依托罗店医院老年医学中心，发展远程监护、康复治疗。联动乡村旅游，在天平村、远景村打造 “田园疗愈” 基地，开展园艺治疗项目。提供文化服务，开设老年大学罗店分院，开发花艺、民俗画等课程。</w:t>
      </w:r>
    </w:p>
    <w:p w14:paraId="61B5DF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培育3D打印新增长点。</w:t>
      </w:r>
      <w:r>
        <w:rPr>
          <w:rFonts w:hint="default" w:ascii="Times New Roman" w:hAnsi="Times New Roman" w:eastAsia="仿宋_GB2312" w:cs="Times New Roman"/>
          <w:sz w:val="32"/>
          <w:szCs w:val="32"/>
          <w:lang w:val="en-US" w:eastAsia="zh-CN"/>
        </w:rPr>
        <w:t>围绕新材料与高端制造产业发展，重点推动金属、陶瓷、高分子等特种材料的</w:t>
      </w:r>
      <w:r>
        <w:rPr>
          <w:rFonts w:hint="eastAsia" w:ascii="Times New Roman" w:hAnsi="Times New Roman" w:eastAsia="仿宋_GB2312" w:cs="Times New Roman"/>
          <w:sz w:val="32"/>
          <w:szCs w:val="32"/>
          <w:lang w:val="en-US" w:eastAsia="zh-CN"/>
        </w:rPr>
        <w:t>3D打印</w:t>
      </w:r>
      <w:r>
        <w:rPr>
          <w:rFonts w:hint="default" w:ascii="Times New Roman" w:hAnsi="Times New Roman" w:eastAsia="仿宋_GB2312" w:cs="Times New Roman"/>
          <w:sz w:val="32"/>
          <w:szCs w:val="32"/>
          <w:lang w:val="en-US" w:eastAsia="zh-CN"/>
        </w:rPr>
        <w:t>技术研发与产业化。</w:t>
      </w:r>
      <w:r>
        <w:rPr>
          <w:rFonts w:hint="eastAsia"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lang w:val="en-US" w:eastAsia="zh-CN"/>
        </w:rPr>
        <w:t>拓展在生物医疗器械个性化定制、精密零部件快速制造、文化创意产品开发等领域的示范应用，加速形成“设计-材料-制造-服务”协同的增材制造产业生态。</w:t>
      </w:r>
    </w:p>
    <w:p w14:paraId="7B23C5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）深化商文旅体联动发展</w:t>
      </w:r>
      <w:bookmarkEnd w:id="28"/>
    </w:p>
    <w:p w14:paraId="72064F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1、加速培育新消费模式。</w:t>
      </w:r>
      <w:r>
        <w:rPr>
          <w:rFonts w:hint="default" w:ascii="Times New Roman" w:hAnsi="Times New Roman" w:eastAsia="仿宋_GB2312" w:cs="Times New Roman"/>
          <w:sz w:val="32"/>
          <w:szCs w:val="32"/>
          <w:lang w:val="en-US" w:eastAsia="zh-CN"/>
        </w:rPr>
        <w:t>联动美兰湖与美兰西湖打造“双湖”景区，建设生态景观廊道，进一步打通生态与商业空间。错位发展美兰湖小镇与中集金地广场，增加人气商企入驻，满足多元化消费需求。抢占消费“新风口”，依托“五五购物节”、国庆等重大节庆，办好花神节、龙船文化节、民俗画文化节、暖春灯会等代表罗店非遗特色的传统节日活动，办好帐篷节、音乐节、咖啡节、烟花秀等时尚活动，以及“最爱美兰湖”体育潮体系列赛，形成四季不断的文旅活动体系。</w:t>
      </w:r>
    </w:p>
    <w:p w14:paraId="049895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2、推动现代服务业发展。</w:t>
      </w:r>
      <w:r>
        <w:rPr>
          <w:rFonts w:hint="default" w:ascii="Times New Roman" w:hAnsi="Times New Roman" w:eastAsia="仿宋_GB2312" w:cs="Times New Roman"/>
          <w:sz w:val="32"/>
          <w:szCs w:val="32"/>
          <w:lang w:val="en-US" w:eastAsia="zh-CN"/>
        </w:rPr>
        <w:t>积极应用大数据、人工智能、虚拟现实等数字技术，拓展“互联网+”医疗、数字教育、在线文娱等新业态。鼓励生活服务电商平台发展，构建“智能+”消费生态，使服务突破时空限制，更高效、精准地满足个性化需求。推动传统商业加速数字化转型升级，支持发展智慧零售、直播电商等新业态，提升“十五分钟社区生活圈”商业服务能级。</w:t>
      </w:r>
    </w:p>
    <w:p w14:paraId="6F8D0E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3、定制特色文旅路线。</w:t>
      </w:r>
      <w:r>
        <w:rPr>
          <w:rFonts w:hint="default" w:ascii="Times New Roman" w:hAnsi="Times New Roman" w:eastAsia="仿宋_GB2312" w:cs="Times New Roman"/>
          <w:sz w:val="32"/>
          <w:szCs w:val="32"/>
          <w:lang w:val="en-US" w:eastAsia="zh-CN"/>
        </w:rPr>
        <w:t>以“微旅行、慢生活”为导向，精心定制美兰湖一日游、罗店周末游等特色旅游路线，打造具有罗店特色的上海都市后花园。依托宝山寺和祇园发展寺庙经济，引入国潮新元素，形成既有罗店特色又有时尚潮流的文旅线路与文旅产业，进一步提升罗店文化地标的吸引力和影响力。</w:t>
      </w:r>
    </w:p>
    <w:p w14:paraId="7A6764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4、深度融合传统文化。</w:t>
      </w:r>
      <w:r>
        <w:rPr>
          <w:rFonts w:hint="default" w:ascii="Times New Roman" w:hAnsi="Times New Roman" w:eastAsia="仿宋_GB2312" w:cs="Times New Roman"/>
          <w:sz w:val="32"/>
          <w:szCs w:val="32"/>
          <w:lang w:val="en-US" w:eastAsia="zh-CN"/>
        </w:rPr>
        <w:t>深化“文香罗店”文化底蕴，依托“非遗”工作室和非遗实体店，联合镇域企业、专业高校，打造特色鲜明的非遗文化名片。积极推动镇域内文保建筑的修缮保护和可利用开发，形成可参观可阅读的文旅新地标。在古镇设立龙船、彩灯等手作工坊，以“罗朵朵、文化四季”等为主题，制作具有罗店地域特色的文创精品。</w:t>
      </w:r>
    </w:p>
    <w:p w14:paraId="23463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29" w:name="_Toc20359"/>
      <w:bookmarkStart w:id="30" w:name="_Toc19559"/>
      <w:r>
        <w:rPr>
          <w:rFonts w:hint="default" w:ascii="Times New Roman" w:hAnsi="Times New Roman" w:eastAsia="黑体" w:cs="Times New Roman"/>
          <w:sz w:val="32"/>
          <w:szCs w:val="32"/>
          <w:lang w:val="en-US" w:eastAsia="zh-CN"/>
        </w:rPr>
        <w:t>二、优化</w:t>
      </w:r>
      <w:bookmarkEnd w:id="29"/>
      <w:bookmarkEnd w:id="30"/>
      <w:r>
        <w:rPr>
          <w:rFonts w:hint="default" w:ascii="Times New Roman" w:hAnsi="Times New Roman" w:eastAsia="黑体" w:cs="Times New Roman"/>
          <w:sz w:val="32"/>
          <w:szCs w:val="32"/>
          <w:lang w:val="en-US" w:eastAsia="zh-CN"/>
        </w:rPr>
        <w:t>城市功能布局，擘画产城融合空间新图景</w:t>
      </w:r>
    </w:p>
    <w:p w14:paraId="36F8C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31" w:name="_Toc7971"/>
      <w:r>
        <w:rPr>
          <w:rFonts w:hint="default" w:ascii="Times New Roman" w:hAnsi="Times New Roman" w:eastAsia="仿宋_GB2312" w:cs="Times New Roman"/>
          <w:sz w:val="32"/>
          <w:szCs w:val="32"/>
          <w:lang w:val="en-US" w:eastAsia="zh-CN"/>
        </w:rPr>
        <w:t>坚持以高水平规划引领高质量发展，通过统筹功能分区、深化产城融合、提升治理效能，构建交融共生的空间新格局，塑造人民满意的现代化城镇样板。</w:t>
      </w:r>
    </w:p>
    <w:p w14:paraId="2D591D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（一）统筹</w:t>
      </w:r>
      <w:bookmarkEnd w:id="31"/>
      <w:r>
        <w:rPr>
          <w:rFonts w:hint="eastAsia" w:ascii="Times New Roman" w:hAnsi="Times New Roman" w:eastAsia="楷体_GB2312" w:cs="Times New Roman"/>
          <w:b/>
          <w:bCs/>
          <w:sz w:val="32"/>
          <w:szCs w:val="32"/>
          <w:lang w:val="en-US" w:eastAsia="zh-CN"/>
        </w:rPr>
        <w:t>产城</w:t>
      </w:r>
      <w:r>
        <w:rPr>
          <w:rFonts w:hint="default" w:ascii="Times New Roman" w:hAnsi="Times New Roman" w:eastAsia="楷体_GB2312" w:cs="Times New Roman"/>
          <w:b/>
          <w:bCs/>
          <w:sz w:val="32"/>
          <w:szCs w:val="32"/>
          <w:lang w:val="en-US" w:eastAsia="zh-CN"/>
        </w:rPr>
        <w:t>板块联动</w:t>
      </w:r>
    </w:p>
    <w:p w14:paraId="0AD079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1、以四大功能板块为支撑，塑造未来城市的核心竞争力和区域影响力。</w:t>
      </w:r>
      <w:r>
        <w:rPr>
          <w:rFonts w:hint="default" w:ascii="Times New Roman" w:hAnsi="Times New Roman" w:eastAsia="仿宋_GB2312" w:cs="Times New Roman"/>
          <w:sz w:val="32"/>
          <w:szCs w:val="32"/>
          <w:lang w:val="en-US" w:eastAsia="zh-CN"/>
        </w:rPr>
        <w:t>按照罗店镇2035总体规划的功能定位和发展要求，“十五五”期间主要围绕四大板块联动发展，形成以“美兰湖、创新药、古镇韵、乡村风”四大功能区域为主的未来发展空间格局，加快建设“南北转型”的产城融合实践典范区，建设更富魅力神韵的金罗店。</w:t>
      </w:r>
    </w:p>
    <w:p w14:paraId="78E9E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2、以郊野单元规划为依托，推动城乡一体化发展，构建和谐共生的城市新格局。</w:t>
      </w:r>
      <w:r>
        <w:rPr>
          <w:rFonts w:hint="default" w:ascii="Times New Roman" w:hAnsi="Times New Roman" w:eastAsia="仿宋_GB2312" w:cs="Times New Roman"/>
          <w:sz w:val="32"/>
          <w:szCs w:val="32"/>
          <w:lang w:val="en-US" w:eastAsia="zh-CN"/>
        </w:rPr>
        <w:t>统筹谋划产业发展、基础设施、公共服务、资源能源、生态环境保护等主要布局，保护历史文化名村和传统村落格局，改善乡村人居环境，打造乡村社区生活圈，提升公共基础配套品质，绘就蓝绿交织、清晰明亮、人与自然和谐共生的城乡融合格局和沪派江南画卷。</w:t>
      </w:r>
    </w:p>
    <w:p w14:paraId="50F826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3、以土地利用规划为核心，提高土地资源的综合承载能力和经济效益。</w:t>
      </w:r>
      <w:r>
        <w:rPr>
          <w:rFonts w:hint="default" w:ascii="Times New Roman" w:hAnsi="Times New Roman" w:eastAsia="仿宋_GB2312" w:cs="Times New Roman"/>
          <w:sz w:val="32"/>
          <w:szCs w:val="32"/>
          <w:lang w:val="en-US" w:eastAsia="zh-CN"/>
        </w:rPr>
        <w:t>加强土地资源统筹，促进供需衔接，科学利用存量和新增建设用地。优化资源配置、提高资源开发利用效率，全力保障城乡基础设施和产业发展用地储备，更好实现土地全生命周期管理。</w:t>
      </w:r>
    </w:p>
    <w:p w14:paraId="6ED595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32" w:name="_Toc5977"/>
      <w:r>
        <w:rPr>
          <w:rFonts w:hint="default" w:ascii="Times New Roman" w:hAnsi="Times New Roman" w:eastAsia="楷体_GB2312" w:cs="Times New Roman"/>
          <w:b/>
          <w:bCs/>
          <w:sz w:val="32"/>
          <w:szCs w:val="32"/>
          <w:lang w:val="en-US" w:eastAsia="zh-CN"/>
        </w:rPr>
        <w:t>（二）</w:t>
      </w:r>
      <w:bookmarkEnd w:id="32"/>
      <w:r>
        <w:rPr>
          <w:rFonts w:hint="default" w:ascii="Times New Roman" w:hAnsi="Times New Roman" w:eastAsia="楷体_GB2312" w:cs="Times New Roman"/>
          <w:b/>
          <w:bCs/>
          <w:sz w:val="32"/>
          <w:szCs w:val="32"/>
          <w:lang w:val="en-US" w:eastAsia="zh-CN"/>
        </w:rPr>
        <w:t>产城融合深度发展</w:t>
      </w:r>
    </w:p>
    <w:p w14:paraId="418234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bookmarkStart w:id="33" w:name="_Toc26691"/>
      <w:r>
        <w:rPr>
          <w:rFonts w:hint="default" w:ascii="Times New Roman" w:hAnsi="Times New Roman" w:eastAsia="仿宋_GB2312" w:cs="Times New Roman"/>
          <w:b/>
          <w:bCs/>
          <w:sz w:val="32"/>
          <w:szCs w:val="32"/>
          <w:lang w:val="en-US" w:eastAsia="zh-CN"/>
        </w:rPr>
        <w:t>1、提速建设锦邑产城融合区。</w:t>
      </w:r>
      <w:r>
        <w:rPr>
          <w:rFonts w:hint="default" w:ascii="Times New Roman" w:hAnsi="Times New Roman" w:eastAsia="仿宋_GB2312" w:cs="Times New Roman"/>
          <w:color w:val="000000"/>
          <w:sz w:val="32"/>
          <w:szCs w:val="32"/>
          <w:lang w:eastAsia="zh-CN"/>
        </w:rPr>
        <w:t>锦邑</w:t>
      </w:r>
      <w:r>
        <w:rPr>
          <w:rFonts w:hint="default" w:ascii="Times New Roman" w:hAnsi="Times New Roman" w:eastAsia="仿宋_GB2312" w:cs="Times New Roman"/>
          <w:color w:val="000000"/>
          <w:sz w:val="32"/>
          <w:szCs w:val="32"/>
        </w:rPr>
        <w:t>产城融合区规划面</w:t>
      </w:r>
      <w:r>
        <w:rPr>
          <w:rFonts w:hint="default" w:ascii="Times New Roman" w:hAnsi="Times New Roman" w:eastAsia="仿宋_GB2312" w:cs="Times New Roman"/>
          <w:b w:val="0"/>
          <w:bCs w:val="0"/>
          <w:color w:val="000000"/>
          <w:kern w:val="2"/>
          <w:sz w:val="32"/>
          <w:szCs w:val="32"/>
          <w:lang w:val="en-US" w:eastAsia="zh-CN" w:bidi="ar-SA"/>
        </w:rPr>
        <w:t>积1.47平方公里，</w:t>
      </w:r>
      <w:r>
        <w:rPr>
          <w:rFonts w:hint="eastAsia" w:ascii="Times New Roman" w:hAnsi="Times New Roman" w:eastAsia="仿宋_GB2312" w:cs="Times New Roman"/>
          <w:b w:val="0"/>
          <w:bCs w:val="0"/>
          <w:color w:val="000000"/>
          <w:kern w:val="2"/>
          <w:sz w:val="32"/>
          <w:szCs w:val="32"/>
          <w:lang w:val="en-US" w:eastAsia="zh-CN" w:bidi="ar-SA"/>
        </w:rPr>
        <w:t>积极引入高等院校打造新校区，</w:t>
      </w:r>
      <w:r>
        <w:rPr>
          <w:rFonts w:hint="default" w:ascii="Times New Roman" w:hAnsi="Times New Roman" w:eastAsia="仿宋_GB2312" w:cs="Times New Roman"/>
          <w:b w:val="0"/>
          <w:bCs w:val="0"/>
          <w:color w:val="000000"/>
          <w:kern w:val="2"/>
          <w:sz w:val="32"/>
          <w:szCs w:val="32"/>
          <w:lang w:val="en-US" w:eastAsia="zh-CN" w:bidi="ar-SA"/>
        </w:rPr>
        <w:t>实现产学研一</w:t>
      </w:r>
      <w:r>
        <w:rPr>
          <w:rFonts w:hint="default" w:ascii="Times New Roman" w:hAnsi="Times New Roman" w:eastAsia="仿宋_GB2312" w:cs="Times New Roman"/>
          <w:sz w:val="32"/>
          <w:szCs w:val="32"/>
          <w:lang w:val="en-US" w:eastAsia="zh-CN"/>
        </w:rPr>
        <w:t>体化，促进校区、园区与社区的融合发展。加快推动C65研发用地出让，引入科技含量高的创新型产业。联动</w:t>
      </w:r>
      <w:r>
        <w:rPr>
          <w:rFonts w:hint="eastAsia" w:ascii="Times New Roman" w:hAnsi="Times New Roman" w:eastAsia="仿宋_GB2312" w:cs="Times New Roman"/>
          <w:sz w:val="32"/>
          <w:szCs w:val="32"/>
          <w:lang w:val="en-US" w:eastAsia="zh-CN"/>
        </w:rPr>
        <w:t>周边研发用地</w:t>
      </w:r>
      <w:r>
        <w:rPr>
          <w:rFonts w:hint="default" w:ascii="Times New Roman" w:hAnsi="Times New Roman" w:eastAsia="仿宋_GB2312" w:cs="Times New Roman"/>
          <w:sz w:val="32"/>
          <w:szCs w:val="32"/>
          <w:lang w:val="en-US" w:eastAsia="zh-CN"/>
        </w:rPr>
        <w:t>，打造重点</w:t>
      </w:r>
      <w:r>
        <w:rPr>
          <w:rFonts w:hint="eastAsia" w:ascii="Times New Roman" w:hAnsi="Times New Roman" w:eastAsia="仿宋_GB2312" w:cs="Times New Roman"/>
          <w:sz w:val="32"/>
          <w:szCs w:val="32"/>
          <w:lang w:val="en-US" w:eastAsia="zh-CN"/>
        </w:rPr>
        <w:t>科研</w:t>
      </w:r>
      <w:r>
        <w:rPr>
          <w:rFonts w:hint="default" w:ascii="Times New Roman" w:hAnsi="Times New Roman" w:eastAsia="仿宋_GB2312" w:cs="Times New Roman"/>
          <w:sz w:val="32"/>
          <w:szCs w:val="32"/>
          <w:lang w:val="en-US" w:eastAsia="zh-CN"/>
        </w:rPr>
        <w:t>院所，赋能“科创罗店”。</w:t>
      </w:r>
    </w:p>
    <w:p w14:paraId="49495BAF">
      <w:pPr>
        <w:pStyle w:val="2"/>
        <w:keepNext w:val="0"/>
        <w:keepLines w:val="0"/>
        <w:pageBreakBefore w:val="0"/>
        <w:widowControl w:val="0"/>
        <w:kinsoku/>
        <w:wordWrap/>
        <w:overflowPunct/>
        <w:topLinePunct w:val="0"/>
        <w:autoSpaceDE/>
        <w:autoSpaceDN/>
        <w:bidi w:val="0"/>
        <w:adjustRightInd/>
        <w:snapToGrid/>
        <w:spacing w:before="0"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2、做好城市更新与文化传承。</w:t>
      </w:r>
      <w:r>
        <w:rPr>
          <w:rFonts w:hint="default" w:ascii="Times New Roman" w:hAnsi="Times New Roman" w:eastAsia="仿宋_GB2312" w:cs="Times New Roman"/>
          <w:sz w:val="32"/>
          <w:szCs w:val="32"/>
          <w:lang w:val="en-US" w:eastAsia="zh-CN"/>
        </w:rPr>
        <w:t>将“两旧一村”</w:t>
      </w:r>
      <w:r>
        <w:rPr>
          <w:rStyle w:val="11"/>
          <w:rFonts w:hint="default" w:ascii="Times New Roman" w:hAnsi="Times New Roman" w:eastAsia="仿宋_GB2312" w:cs="Times New Roman"/>
          <w:sz w:val="32"/>
          <w:szCs w:val="32"/>
          <w:lang w:val="en-US" w:eastAsia="zh-CN"/>
        </w:rPr>
        <w:footnoteReference w:id="0"/>
      </w:r>
      <w:r>
        <w:rPr>
          <w:rFonts w:hint="default" w:ascii="Times New Roman" w:hAnsi="Times New Roman" w:eastAsia="仿宋_GB2312" w:cs="Times New Roman"/>
          <w:sz w:val="32"/>
          <w:szCs w:val="32"/>
          <w:lang w:val="en-US" w:eastAsia="zh-CN"/>
        </w:rPr>
        <w:t>改造工作视为重大民生工程和推进区域经济发展的重要举措，坚持“主城近郊”错位互补策略，启动罗溪村、东南弄村等罗店老镇城中村改造项目。东南弄片区以“古镇文化核”为引领，活化宝山寺、花神堂、罗店龙船等IP，沿练祁河重塑“三湾九街十八弄”江南肌理，打造沉浸式文化体验与烟火生活相融合的水乡社区；罗溪片区以“产城融合”为导向，聚焦科创人才需求，依托沪太路发展轴塑造现代门户，沿练祁河生态带植入国际配套与乡野景观，建设宜居宜业的高品质人才社区。两片区文脉相通、功能互补，协同构建文化、生态、科创“三位一体”的可持续发展示范区。</w:t>
      </w:r>
    </w:p>
    <w:p w14:paraId="66632691">
      <w:pPr>
        <w:pStyle w:val="2"/>
        <w:keepNext w:val="0"/>
        <w:keepLines w:val="0"/>
        <w:pageBreakBefore w:val="0"/>
        <w:widowControl w:val="0"/>
        <w:kinsoku/>
        <w:wordWrap/>
        <w:overflowPunct/>
        <w:topLinePunct w:val="0"/>
        <w:autoSpaceDE/>
        <w:autoSpaceDN/>
        <w:bidi w:val="0"/>
        <w:adjustRightInd/>
        <w:snapToGrid/>
        <w:spacing w:before="0"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3、推动新镇建设开发与配套提标。</w:t>
      </w:r>
      <w:r>
        <w:rPr>
          <w:rFonts w:hint="default" w:ascii="Times New Roman" w:hAnsi="Times New Roman" w:eastAsia="仿宋_GB2312" w:cs="Times New Roman"/>
          <w:sz w:val="32"/>
          <w:szCs w:val="32"/>
          <w:lang w:val="en-US" w:eastAsia="zh-CN"/>
        </w:rPr>
        <w:t>加快</w:t>
      </w:r>
      <w:r>
        <w:rPr>
          <w:rFonts w:hint="eastAsia" w:ascii="Times New Roman" w:hAnsi="Times New Roman" w:eastAsia="仿宋_GB2312" w:cs="Times New Roman"/>
          <w:sz w:val="32"/>
          <w:szCs w:val="32"/>
          <w:lang w:val="en-US" w:eastAsia="zh-CN"/>
        </w:rPr>
        <w:t>罗店新镇住宅</w:t>
      </w:r>
      <w:r>
        <w:rPr>
          <w:rFonts w:hint="default" w:ascii="Times New Roman" w:hAnsi="Times New Roman" w:eastAsia="仿宋_GB2312" w:cs="Times New Roman"/>
          <w:sz w:val="32"/>
          <w:szCs w:val="32"/>
          <w:lang w:val="en-US" w:eastAsia="zh-CN"/>
        </w:rPr>
        <w:t>地块出让，引入高品质住区，增补区域宜居厚度。</w:t>
      </w:r>
      <w:r>
        <w:rPr>
          <w:rFonts w:hint="eastAsia"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lang w:val="en-US" w:eastAsia="zh-CN"/>
        </w:rPr>
        <w:t>建成九年一贯制学校、幼儿园，打造“家门口的好学校”，让孩子步行即达优质课堂。推进养老地块招商，完善银发服务矩阵，让长者不出社区尽享关怀。通过住房、教育、养老全维升级，塑造全龄友好、烟火与品质兼具的“15分钟社区生活圈”。</w:t>
      </w:r>
    </w:p>
    <w:p w14:paraId="1DBE8B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（三）提升城市管理水平</w:t>
      </w:r>
      <w:bookmarkEnd w:id="33"/>
    </w:p>
    <w:p w14:paraId="3E9750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1、强化网格化管理机制。</w:t>
      </w:r>
      <w:r>
        <w:rPr>
          <w:rFonts w:hint="default" w:ascii="Times New Roman" w:hAnsi="Times New Roman" w:eastAsia="仿宋_GB2312" w:cs="Times New Roman"/>
          <w:sz w:val="32"/>
          <w:szCs w:val="32"/>
          <w:lang w:val="en-US" w:eastAsia="zh-CN"/>
        </w:rPr>
        <w:t>推动“科学化、精细化、智能化”数字赋能城市管理，以应用场景为抓手，聚焦最小治理单元，推进“一网统管”。充分运用“多格合一”管理机制，完善“市—区—街镇”三级和各部门条线的城市精细化管理标准，推动城市精细化管理不断升级。</w:t>
      </w:r>
    </w:p>
    <w:p w14:paraId="53C0B3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2、完善现代环境治理体系。</w:t>
      </w:r>
      <w:r>
        <w:rPr>
          <w:rFonts w:hint="default" w:ascii="Times New Roman" w:hAnsi="Times New Roman" w:eastAsia="仿宋_GB2312" w:cs="Times New Roman"/>
          <w:sz w:val="32"/>
          <w:szCs w:val="32"/>
          <w:lang w:val="en-US" w:eastAsia="zh-CN"/>
        </w:rPr>
        <w:t>纵深推进“河长制、林长制、田长制”三制协同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嵌入“政企同步、条块互通、区镇联动”监管闭环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建立企业监管数据共享池并动态更新，形成多元合力、齐抓共管的工作格局和严防生态环境违法违规行为的高压态势，促进区域总体环境质量提标、达标。</w:t>
      </w:r>
    </w:p>
    <w:p w14:paraId="330DD9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深入推进美丽上海建设</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持续深入打好蓝天、碧水、净土保卫战，持续改善生态环境质量。实现PM2.5和O3污染协同控制以及与碳减排的协同增效。推动吴淞江（罗蕴河）工程，提升区域水利设施，保障水体安全。统筹水资源、水环境、水生态治理，稳定改善水环境质量，逐步恢复水生态系统功能。落实土壤污染源头防控行动，高标准建设全域“无废城市”。</w:t>
      </w:r>
    </w:p>
    <w:p w14:paraId="52A3C1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bookmarkStart w:id="34" w:name="_Toc28090"/>
      <w:bookmarkStart w:id="35" w:name="_Toc15569"/>
      <w:r>
        <w:rPr>
          <w:rFonts w:hint="default" w:ascii="Times New Roman" w:hAnsi="Times New Roman" w:eastAsia="仿宋_GB2312" w:cs="Times New Roman"/>
          <w:b/>
          <w:bCs/>
          <w:sz w:val="32"/>
          <w:szCs w:val="32"/>
          <w:lang w:val="en-US" w:eastAsia="zh-CN"/>
        </w:rPr>
        <w:t>4、营造优美舒适城市空间。</w:t>
      </w:r>
      <w:r>
        <w:rPr>
          <w:rFonts w:hint="default" w:ascii="Times New Roman" w:hAnsi="Times New Roman" w:eastAsia="仿宋_GB2312" w:cs="Times New Roman"/>
          <w:sz w:val="32"/>
          <w:szCs w:val="32"/>
          <w:lang w:val="en-US" w:eastAsia="zh-CN"/>
        </w:rPr>
        <w:t>实施罗店新镇绿化项目，增加公共空间和绿地，提升居民生活质量。全面提升城市基础设施养护管理水平，重点聚焦道路养护、雨污水管道养护及绿化养护三大领域。推动生活垃圾分类从“常态化运行”向“精细化提质”迈进。实现城市环境的持续改善与城市品质的稳步提升，确保城市运行安全、高效、绿色，为市民营造更加舒适、便捷的生活环境。</w:t>
      </w:r>
    </w:p>
    <w:p w14:paraId="77A1D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三、创造高品质生活，更好满足人民对美好生活的向往</w:t>
      </w:r>
      <w:bookmarkEnd w:id="34"/>
      <w:bookmarkEnd w:id="35"/>
    </w:p>
    <w:p w14:paraId="4A6B2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b/>
          <w:bCs/>
          <w:sz w:val="32"/>
          <w:szCs w:val="32"/>
          <w:lang w:val="en-US" w:eastAsia="zh-CN"/>
        </w:rPr>
      </w:pPr>
      <w:bookmarkStart w:id="36" w:name="_Toc19830"/>
      <w:r>
        <w:rPr>
          <w:rFonts w:hint="default" w:ascii="Times New Roman" w:hAnsi="Times New Roman" w:eastAsia="仿宋_GB2312" w:cs="Times New Roman"/>
          <w:sz w:val="32"/>
          <w:szCs w:val="32"/>
          <w:lang w:val="en-US" w:eastAsia="zh-CN"/>
        </w:rPr>
        <w:t>坚持以民生关切为切</w:t>
      </w:r>
      <w:r>
        <w:rPr>
          <w:rFonts w:hint="eastAsia" w:ascii="Times New Roman" w:hAnsi="Times New Roman" w:eastAsia="仿宋_GB2312" w:cs="Times New Roman"/>
          <w:sz w:val="32"/>
          <w:szCs w:val="32"/>
          <w:lang w:val="en-US" w:eastAsia="zh-CN"/>
        </w:rPr>
        <w:t>入点</w:t>
      </w:r>
      <w:r>
        <w:rPr>
          <w:rFonts w:hint="default" w:ascii="Times New Roman" w:hAnsi="Times New Roman" w:eastAsia="仿宋_GB2312" w:cs="Times New Roman"/>
          <w:sz w:val="32"/>
          <w:szCs w:val="32"/>
          <w:lang w:val="en-US" w:eastAsia="zh-CN"/>
        </w:rPr>
        <w:t>，精准施策，强化公共服务供给，织密社会保障网络，在高质量发展中持续提升居民获得感、幸福感、安全感。</w:t>
      </w:r>
    </w:p>
    <w:p w14:paraId="01C27E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（一）推动卫生健康公共服务迭代升级</w:t>
      </w:r>
      <w:bookmarkEnd w:id="36"/>
    </w:p>
    <w:p w14:paraId="5FBA0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贯彻落实健康优先发展战略，深入实施爱国卫生运动和健康上海行动。进一步加强爱国卫生运动，积极配合国家卫生区复审，深化巩固国家卫生镇、上海市卫生健康街镇示范单位创建成果。健全公共卫生管理体系，完善应急联动管理模式，提高多部门联合协调行动能力，维护全镇公共卫生安全。强化医疗资源整合，以医院为区域医疗中心枢纽，联动社区卫生服务中心、家庭医生服务网络，优化分级诊疗格局。推进中医特色专科、老年病防治、慢性病管理等学科建设。深化“互联网+医疗健康”场景应用，打造线上线下融合的智慧医联体。</w:t>
      </w:r>
    </w:p>
    <w:p w14:paraId="4DC0C2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37" w:name="_Toc1036"/>
      <w:r>
        <w:rPr>
          <w:rFonts w:hint="default" w:ascii="Times New Roman" w:hAnsi="Times New Roman" w:eastAsia="楷体_GB2312" w:cs="Times New Roman"/>
          <w:b/>
          <w:bCs/>
          <w:sz w:val="32"/>
          <w:szCs w:val="32"/>
          <w:lang w:val="en-US" w:eastAsia="zh-CN"/>
        </w:rPr>
        <w:t>（二）促进高质量教育体系稳步建设</w:t>
      </w:r>
      <w:bookmarkEnd w:id="37"/>
    </w:p>
    <w:p w14:paraId="02F42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引入优质教育资源，建设高品质学校，包括罗店大居高中、罗店新镇九年一贯制学校、罗店新镇幼儿园、罗店大居九年一贯制学校等。重点完善美兰湖小镇、乡村振兴片区等人口导入区域教育配套，形成一批具有区域影响力的特色学校和教育品牌。通过集团化办学、校际结对等方式提升基础教育质量。持续推进“品牌聚合、名师引领、英才成长、素质提升、共育助飞”五大计划，不断加强罗店镇名师工作室建设，搭建教师互动交流、能力展示、专业成长平台，持续提高教师队伍专业化水平。</w:t>
      </w:r>
    </w:p>
    <w:p w14:paraId="5AE67D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38" w:name="_Toc11369"/>
      <w:r>
        <w:rPr>
          <w:rFonts w:hint="default" w:ascii="Times New Roman" w:hAnsi="Times New Roman" w:eastAsia="楷体_GB2312" w:cs="Times New Roman"/>
          <w:b/>
          <w:bCs/>
          <w:sz w:val="32"/>
          <w:szCs w:val="32"/>
          <w:lang w:val="en-US" w:eastAsia="zh-CN"/>
        </w:rPr>
        <w:t>（三）加速健全老龄养老服务网络</w:t>
      </w:r>
      <w:bookmarkEnd w:id="38"/>
    </w:p>
    <w:p w14:paraId="17278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点推进社区嵌入式养老服务设施均衡布局，依托社区综合为老服务中心、老年活动室等载体，形成家门口的养老服务圈层网络。健全家庭照护者能力培训机制，发展互助养老等社会化服务模式，形成政府引导、社会协同、家庭尽责的居家养老服务格局。深化医养结合模式，支持基层医疗卫生机构与养老服务机构签约合作，推进上门巡诊等延伸服务。完善长期照护服务体系，推进认知障碍友好社区建设，深入实施“老吾老”计划。</w:t>
      </w:r>
    </w:p>
    <w:p w14:paraId="4B7EFC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39" w:name="_Toc32230"/>
      <w:r>
        <w:rPr>
          <w:rFonts w:hint="default" w:ascii="Times New Roman" w:hAnsi="Times New Roman" w:eastAsia="楷体_GB2312" w:cs="Times New Roman"/>
          <w:b/>
          <w:bCs/>
          <w:sz w:val="32"/>
          <w:szCs w:val="32"/>
          <w:lang w:val="en-US" w:eastAsia="zh-CN"/>
        </w:rPr>
        <w:t>（四）织密社保网络筑牢民生底线</w:t>
      </w:r>
      <w:bookmarkEnd w:id="39"/>
    </w:p>
    <w:p w14:paraId="6DE60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标扩面城乡居民养老保险，鼓励早参保、勤续保并引导参保人群向更高层次社保升级。推动居民医疗保险“应保尽保”，加大优质商业医疗保险宣传推广力度，形成多层次医疗保障体系。强化城乡低保、特困供养等基础保障动态精准管理，精准救助困难对象。引导企业履行社会责任，依托慈善基金，形成“政府保基本、市场作补充、慈善托边缘”的多元救助格局。</w:t>
      </w:r>
    </w:p>
    <w:p w14:paraId="100E17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40" w:name="_Toc23781"/>
      <w:r>
        <w:rPr>
          <w:rFonts w:hint="default" w:ascii="Times New Roman" w:hAnsi="Times New Roman" w:eastAsia="楷体_GB2312" w:cs="Times New Roman"/>
          <w:b/>
          <w:bCs/>
          <w:sz w:val="32"/>
          <w:szCs w:val="32"/>
          <w:lang w:val="en-US" w:eastAsia="zh-CN"/>
        </w:rPr>
        <w:t>（五）构建高质量充分就业新格局</w:t>
      </w:r>
      <w:bookmarkEnd w:id="40"/>
    </w:p>
    <w:p w14:paraId="258452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val="en-US" w:eastAsia="zh-CN"/>
        </w:rPr>
        <w:t>依托基层服务平台打造职业指导、岗位推介、技能培训等全链条服务供给体系。聚焦高校毕业生、退役军人、就业困难人员等群体需求，完善“一人一策”动态管理机制，通过专场招聘会定向对接等方式提升帮扶精准度。围绕生物医药、现代制造等主导产业需求，强化高技能人才梯队建设，构建由产业需求牵引的融合式发展模式。推进职业技能培训与产业技术迭代同频共振，支持企业联合职业院校共建实训基地，开展定制化技能人才培养。</w:t>
      </w:r>
    </w:p>
    <w:p w14:paraId="02F96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41" w:name="_Toc27636"/>
      <w:r>
        <w:rPr>
          <w:rFonts w:hint="default" w:ascii="Times New Roman" w:hAnsi="Times New Roman" w:eastAsia="楷体_GB2312" w:cs="Times New Roman"/>
          <w:b/>
          <w:bCs/>
          <w:sz w:val="32"/>
          <w:szCs w:val="32"/>
          <w:lang w:val="en-US" w:eastAsia="zh-CN"/>
        </w:rPr>
        <w:t>（六）充分满足居民在精神文化层面的多元化需求</w:t>
      </w:r>
      <w:bookmarkEnd w:id="41"/>
    </w:p>
    <w:p w14:paraId="29F74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挖掘“春有花神秋有画、夏有龙船冬有灯”的“文化四季”品牌，提标升级，创新融合。坚持倡导社会力量参与开展各类群众文体活动，鼓励公益性、市场化，形成众筹搞活动、多方创品牌的群众文化活动繁荣局面。深入挖掘民歌、曲艺、戏曲人才，蓄力打造镇级优秀文艺团队，打造具有罗店文化特色的新作佳品。加强公共文化服务建设，完善公共文化基础设施的开放共享机制，积极推动美兰西湖蜂巢艺术中心、大居体育中心、远景网球中心、美兰湖体育中心等建成并投入使用。</w:t>
      </w:r>
    </w:p>
    <w:p w14:paraId="07DEC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42" w:name="_Toc636"/>
      <w:bookmarkStart w:id="43" w:name="_Toc1877"/>
      <w:r>
        <w:rPr>
          <w:rFonts w:hint="default" w:ascii="Times New Roman" w:hAnsi="Times New Roman" w:eastAsia="黑体" w:cs="Times New Roman"/>
          <w:sz w:val="32"/>
          <w:szCs w:val="32"/>
          <w:lang w:val="en-US" w:eastAsia="zh-CN"/>
        </w:rPr>
        <w:t>四、</w:t>
      </w:r>
      <w:bookmarkEnd w:id="42"/>
      <w:bookmarkEnd w:id="43"/>
      <w:r>
        <w:rPr>
          <w:rFonts w:hint="default" w:ascii="Times New Roman" w:hAnsi="Times New Roman" w:eastAsia="黑体" w:cs="Times New Roman"/>
          <w:sz w:val="32"/>
          <w:szCs w:val="32"/>
          <w:lang w:val="en-US" w:eastAsia="zh-CN"/>
        </w:rPr>
        <w:t>提高社会治理水平，筑牢城市安全运行防线</w:t>
      </w:r>
    </w:p>
    <w:p w14:paraId="650DF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44" w:name="_Toc13689"/>
      <w:r>
        <w:rPr>
          <w:rFonts w:hint="default" w:ascii="Times New Roman" w:hAnsi="Times New Roman" w:eastAsia="仿宋_GB2312" w:cs="Times New Roman"/>
          <w:sz w:val="32"/>
          <w:szCs w:val="32"/>
          <w:lang w:val="en-US" w:eastAsia="zh-CN"/>
        </w:rPr>
        <w:t>坚持党建引领，深化基层治理改革创新，筑牢公共安全与安全生产防线，全面提升社会治理社会化、法治化、智能化、专业化水平。</w:t>
      </w:r>
    </w:p>
    <w:p w14:paraId="187BA3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（一）强化基层社区治理能力</w:t>
      </w:r>
      <w:bookmarkEnd w:id="44"/>
    </w:p>
    <w:p w14:paraId="14BA46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1、深化党建引领基层社区治理体系。</w:t>
      </w:r>
      <w:r>
        <w:rPr>
          <w:rFonts w:hint="default" w:ascii="Times New Roman" w:hAnsi="Times New Roman" w:eastAsia="仿宋_GB2312" w:cs="Times New Roman"/>
          <w:sz w:val="32"/>
          <w:szCs w:val="32"/>
          <w:lang w:val="en-US" w:eastAsia="zh-CN"/>
        </w:rPr>
        <w:t>健全基层治理体系，加强社区党组织建设，促进基层党建与社区治理深度融合。提升基层队伍管理服务水平，完善社区工作者考核机制。加强对居民区书记、主任、社工的业务培训，打造素质优良的社区干部队伍。建立健全党建引领下的社区居民委员会、业主委员会、物业服务企业协调运行机制。</w:t>
      </w:r>
    </w:p>
    <w:p w14:paraId="621D41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2、加强自治共治体系和能力建设。</w:t>
      </w:r>
      <w:r>
        <w:rPr>
          <w:rFonts w:hint="default" w:ascii="Times New Roman" w:hAnsi="Times New Roman" w:eastAsia="仿宋_GB2312" w:cs="Times New Roman"/>
          <w:sz w:val="32"/>
          <w:szCs w:val="32"/>
          <w:lang w:val="en-US" w:eastAsia="zh-CN"/>
        </w:rPr>
        <w:t>推动全过程人民民主，挖掘培育第二楼组长、社区达人、在职党员等自治力量，引导居民广泛参与党建引领“举手制”项目、活力楼组打造、社区微改造等社区治理项目。积极探索社区公益基金会参与基层治理的新路径，增强社区“造血”功能，打造特色型、示范性、创新新性、可持续性公益品牌项目，稳步推进社会治理共同体建设。</w:t>
      </w:r>
    </w:p>
    <w:p w14:paraId="2DA30E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3、提升治理精细化水平。</w:t>
      </w:r>
      <w:r>
        <w:rPr>
          <w:rFonts w:hint="default" w:ascii="Times New Roman" w:hAnsi="Times New Roman" w:eastAsia="仿宋_GB2312" w:cs="Times New Roman"/>
          <w:sz w:val="32"/>
          <w:szCs w:val="32"/>
          <w:lang w:val="en-US" w:eastAsia="zh-CN"/>
        </w:rPr>
        <w:t>推广“未诉先办”机制，通过网格员滚动排查、大数据预警分析，提前介入高频投诉领域，变被动应对为主动治理。推动辖区内社会组织发展从“多乱杂”向“少而精”转变，重点培育社区治理类的本土社会组织，开展专业化、差异化、个性化特色服务，形成具有竞争力的服务品牌。</w:t>
      </w:r>
    </w:p>
    <w:p w14:paraId="61849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45" w:name="_Toc23656"/>
      <w:r>
        <w:rPr>
          <w:rFonts w:hint="default" w:ascii="Times New Roman" w:hAnsi="Times New Roman" w:eastAsia="楷体_GB2312" w:cs="Times New Roman"/>
          <w:b/>
          <w:bCs/>
          <w:sz w:val="32"/>
          <w:szCs w:val="32"/>
          <w:lang w:val="en-US" w:eastAsia="zh-CN"/>
        </w:rPr>
        <w:t>（二）加大社会矛盾化解力度</w:t>
      </w:r>
      <w:bookmarkEnd w:id="45"/>
    </w:p>
    <w:p w14:paraId="7E3875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1、畅通民意表达渠道。</w:t>
      </w:r>
      <w:r>
        <w:rPr>
          <w:rFonts w:hint="default" w:ascii="Times New Roman" w:hAnsi="Times New Roman" w:eastAsia="仿宋_GB2312" w:cs="Times New Roman"/>
          <w:sz w:val="32"/>
          <w:szCs w:val="32"/>
          <w:lang w:val="en-US" w:eastAsia="zh-CN"/>
        </w:rPr>
        <w:t>拓宽民意诉求渠道，推广基层信访代理制，健全律师参与信访工作机制，完善信访事项终结制度，重视社会组织在反映民众诉求方面的积极作用，解决群众反映的突出问题。</w:t>
      </w:r>
    </w:p>
    <w:p w14:paraId="3F2206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2、落实上门办信制度。</w:t>
      </w:r>
      <w:r>
        <w:rPr>
          <w:rFonts w:hint="default" w:ascii="Times New Roman" w:hAnsi="Times New Roman" w:eastAsia="仿宋_GB2312" w:cs="Times New Roman"/>
          <w:sz w:val="32"/>
          <w:szCs w:val="32"/>
          <w:lang w:val="en-US" w:eastAsia="zh-CN"/>
        </w:rPr>
        <w:t>按照市、区信访办有关上门办信各项工作要求，认真对标对表，狠抓落实。同时，结合本镇实际情况，充分调动各职能部门和村（居）做好上门办信的主动性，严格落实应办尽办，同时努力提高上门办信一次性解决率，充分提升群众满意度。</w:t>
      </w:r>
    </w:p>
    <w:p w14:paraId="250BE2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3、完善社会稳定风险分析和评估机制。</w:t>
      </w:r>
      <w:r>
        <w:rPr>
          <w:rFonts w:hint="default" w:ascii="Times New Roman" w:hAnsi="Times New Roman" w:eastAsia="仿宋_GB2312" w:cs="Times New Roman"/>
          <w:sz w:val="32"/>
          <w:szCs w:val="32"/>
          <w:lang w:val="en-US" w:eastAsia="zh-CN"/>
        </w:rPr>
        <w:t>加强对重大工程、重大公共政策等审批和出台前的风险评估，制定应对策略和预案，落实防范、化解和处置措施，从源头上预防和减少社会风险，及时、有效预防和化解群体性矛盾。</w:t>
      </w:r>
    </w:p>
    <w:p w14:paraId="790A62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46" w:name="_Toc31991"/>
      <w:r>
        <w:rPr>
          <w:rFonts w:hint="default" w:ascii="Times New Roman" w:hAnsi="Times New Roman" w:eastAsia="楷体_GB2312" w:cs="Times New Roman"/>
          <w:b/>
          <w:bCs/>
          <w:sz w:val="32"/>
          <w:szCs w:val="32"/>
          <w:lang w:val="en-US" w:eastAsia="zh-CN"/>
        </w:rPr>
        <w:t>（三）保障城乡公共安全</w:t>
      </w:r>
      <w:bookmarkEnd w:id="46"/>
    </w:p>
    <w:p w14:paraId="10F604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1、严厉打击各类违法犯罪。</w:t>
      </w:r>
      <w:r>
        <w:rPr>
          <w:rFonts w:hint="default" w:ascii="Times New Roman" w:hAnsi="Times New Roman" w:eastAsia="仿宋_GB2312" w:cs="Times New Roman"/>
          <w:sz w:val="32"/>
          <w:szCs w:val="32"/>
          <w:lang w:val="en-US" w:eastAsia="zh-CN"/>
        </w:rPr>
        <w:t>坚决遏制以电信网络诈骗违法犯罪为主的非接触诈骗犯罪多发高发态势，紧盯黄赌毒违法犯罪集中打击、侵犯人身权利类案件集中压降，紧盯直接影响群众对社会治安状况评价的民生案件，减少群众损失，切实维护群众利益。</w:t>
      </w:r>
    </w:p>
    <w:p w14:paraId="0B278C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2、加大矛盾纠纷化解力度。</w:t>
      </w:r>
      <w:r>
        <w:rPr>
          <w:rFonts w:hint="default" w:ascii="Times New Roman" w:hAnsi="Times New Roman" w:eastAsia="仿宋_GB2312" w:cs="Times New Roman"/>
          <w:sz w:val="32"/>
          <w:szCs w:val="32"/>
          <w:lang w:val="en-US" w:eastAsia="zh-CN"/>
        </w:rPr>
        <w:t>积极践行“枫桥经验”，推进矛盾纠纷多元化解“一站式”平台建设，从源头上预防、减少和消除社会稳定风险。推动优化“诉调对接”，健全完善人民调解和行政调解、行业性专业性调解、司法调解的衔接联动。</w:t>
      </w:r>
    </w:p>
    <w:p w14:paraId="004A89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3、夯实平安建设基层基础。</w:t>
      </w:r>
      <w:r>
        <w:rPr>
          <w:rFonts w:hint="default" w:ascii="Times New Roman" w:hAnsi="Times New Roman" w:eastAsia="仿宋_GB2312" w:cs="Times New Roman"/>
          <w:sz w:val="32"/>
          <w:szCs w:val="32"/>
          <w:lang w:val="en-US" w:eastAsia="zh-CN"/>
        </w:rPr>
        <w:t>全力做好重要节点安保维稳工作，确保社会面大局平安稳定。深入开展“平安（示范）小区”“平安（示范）单位”创建活动，围绕反诈、禁毒、扫黑除恶、反邪教、见义勇为等内容开展平安建设宣防活动。</w:t>
      </w:r>
    </w:p>
    <w:p w14:paraId="7DE19B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4、推动法治建设发展。</w:t>
      </w:r>
      <w:r>
        <w:rPr>
          <w:rFonts w:hint="default" w:ascii="Times New Roman" w:hAnsi="Times New Roman" w:eastAsia="仿宋_GB2312" w:cs="Times New Roman"/>
          <w:sz w:val="32"/>
          <w:szCs w:val="32"/>
          <w:lang w:val="en-US" w:eastAsia="zh-CN"/>
        </w:rPr>
        <w:t>畅通依法治理工作渠道，切实发挥好全镇各级法律顾问作用，进一步提升法治赋能基层治理质效。落实普法责任制，深入社区、农村开展民法典等法律法规宣传。</w:t>
      </w:r>
    </w:p>
    <w:p w14:paraId="2BFD87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47" w:name="_Toc7907"/>
      <w:r>
        <w:rPr>
          <w:rFonts w:hint="default" w:ascii="Times New Roman" w:hAnsi="Times New Roman" w:eastAsia="楷体_GB2312" w:cs="Times New Roman"/>
          <w:b/>
          <w:bCs/>
          <w:sz w:val="32"/>
          <w:szCs w:val="32"/>
          <w:lang w:val="en-US" w:eastAsia="zh-CN"/>
        </w:rPr>
        <w:t>（四）强化落实安全生产</w:t>
      </w:r>
      <w:bookmarkEnd w:id="47"/>
    </w:p>
    <w:p w14:paraId="4DAA57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1、不断深化安全管理。</w:t>
      </w:r>
      <w:r>
        <w:rPr>
          <w:rFonts w:hint="default" w:ascii="Times New Roman" w:hAnsi="Times New Roman" w:eastAsia="仿宋_GB2312" w:cs="Times New Roman"/>
          <w:sz w:val="32"/>
          <w:szCs w:val="32"/>
          <w:lang w:val="en-US" w:eastAsia="zh-CN"/>
        </w:rPr>
        <w:t>深入开展安全生产治本攻坚三年行动，集中攻坚厂房仓库消防安全综合治理，有效实施电动自行车安全隐患全链条整治，着力开展建筑施工安全专项整治，持续推动畅通消防“生命通道”专项整治，巩固深化村民自建房安全专项治理。</w:t>
      </w:r>
    </w:p>
    <w:p w14:paraId="2B17F7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2、全面提升治理能力。</w:t>
      </w:r>
      <w:r>
        <w:rPr>
          <w:rFonts w:hint="default" w:ascii="Times New Roman" w:hAnsi="Times New Roman" w:eastAsia="仿宋_GB2312" w:cs="Times New Roman"/>
          <w:sz w:val="32"/>
          <w:szCs w:val="32"/>
          <w:lang w:val="en-US" w:eastAsia="zh-CN"/>
        </w:rPr>
        <w:t>健全完善安全生产管理制度，严格落实安全生产责任，及时发现和妥善处理安全隐患。突出重点行业和领域监管力度，增强安全生产基础保障水平。组织好各类教育培训和应急演练，因地制宜建设安全科普教育和体验实训基地，引导公众践行安全的生产生活方式。</w:t>
      </w:r>
    </w:p>
    <w:p w14:paraId="330651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3、持续稳定安全形势。</w:t>
      </w:r>
      <w:r>
        <w:rPr>
          <w:rFonts w:hint="default" w:ascii="Times New Roman" w:hAnsi="Times New Roman" w:eastAsia="仿宋_GB2312" w:cs="Times New Roman"/>
          <w:sz w:val="32"/>
          <w:szCs w:val="32"/>
          <w:lang w:val="en-US" w:eastAsia="zh-CN"/>
        </w:rPr>
        <w:t>进一步强化统筹发展和安全的理念，做到补短板、强弱项、夯基础、防风险，坚持从根本上消除事故隐患，有效防范遏制较大生产安全事故发生，全力以赴推进安全生产治理体系和治理能力现代化建设。</w:t>
      </w:r>
    </w:p>
    <w:p w14:paraId="7D31A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48" w:name="_Toc9029"/>
      <w:bookmarkStart w:id="49" w:name="_Toc28279"/>
      <w:r>
        <w:rPr>
          <w:rFonts w:hint="default" w:ascii="Times New Roman" w:hAnsi="Times New Roman" w:eastAsia="黑体" w:cs="Times New Roman"/>
          <w:sz w:val="32"/>
          <w:szCs w:val="32"/>
          <w:lang w:val="en-US" w:eastAsia="zh-CN"/>
        </w:rPr>
        <w:t>五、</w:t>
      </w:r>
      <w:bookmarkEnd w:id="48"/>
      <w:bookmarkEnd w:id="49"/>
      <w:r>
        <w:rPr>
          <w:rFonts w:hint="default" w:ascii="Times New Roman" w:hAnsi="Times New Roman" w:eastAsia="黑体" w:cs="Times New Roman"/>
          <w:sz w:val="32"/>
          <w:szCs w:val="32"/>
          <w:lang w:val="en-US" w:eastAsia="zh-CN"/>
        </w:rPr>
        <w:t>推进乡村振兴战略，建设宜居宜业和美乡村</w:t>
      </w:r>
    </w:p>
    <w:p w14:paraId="4F498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0" w:name="_Toc14557"/>
      <w:r>
        <w:rPr>
          <w:rFonts w:hint="default" w:ascii="Times New Roman" w:hAnsi="Times New Roman" w:eastAsia="仿宋_GB2312" w:cs="Times New Roman"/>
          <w:sz w:val="32"/>
          <w:szCs w:val="32"/>
          <w:lang w:val="en-US" w:eastAsia="zh-CN"/>
        </w:rPr>
        <w:t>坚持城乡融合发展，优化乡村空间布局，全面提升乡村产业、生态和人居环境质量，建设宜居宜业和美乡村，促进农民农村共同富裕。</w:t>
      </w:r>
    </w:p>
    <w:p w14:paraId="7E2760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（一）规划引领擘画乡村新图景</w:t>
      </w:r>
      <w:bookmarkEnd w:id="50"/>
    </w:p>
    <w:p w14:paraId="1A55A6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1、构建“三级联动”规划体系。</w:t>
      </w:r>
      <w:r>
        <w:rPr>
          <w:rFonts w:hint="default" w:ascii="Times New Roman" w:hAnsi="Times New Roman" w:eastAsia="仿宋_GB2312" w:cs="Times New Roman"/>
          <w:sz w:val="32"/>
          <w:szCs w:val="32"/>
          <w:lang w:val="en-US" w:eastAsia="zh-CN"/>
        </w:rPr>
        <w:t>以“战略-空间-项目”为轴线，构建“1+3+N”</w:t>
      </w:r>
      <w:r>
        <w:rPr>
          <w:rStyle w:val="11"/>
          <w:rFonts w:hint="default" w:ascii="Times New Roman" w:hAnsi="Times New Roman" w:eastAsia="仿宋_GB2312" w:cs="Times New Roman"/>
          <w:sz w:val="32"/>
          <w:szCs w:val="32"/>
          <w:lang w:val="en-US" w:eastAsia="zh-CN"/>
        </w:rPr>
        <w:footnoteReference w:id="1"/>
      </w:r>
      <w:r>
        <w:rPr>
          <w:rFonts w:hint="default" w:ascii="Times New Roman" w:hAnsi="Times New Roman" w:eastAsia="仿宋_GB2312" w:cs="Times New Roman"/>
          <w:sz w:val="32"/>
          <w:szCs w:val="32"/>
          <w:lang w:val="en-US" w:eastAsia="zh-CN"/>
        </w:rPr>
        <w:t>规划体系。推进产业融合、基础设施、公共服务专项规划，实现农田连片整治与数字乡村建设“双轮驱动”。量身定制村庄规划，保留古树老宅肌理，植入智慧田园场景，让传统村落“活”出新质感。</w:t>
      </w:r>
    </w:p>
    <w:p w14:paraId="63664A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2、重塑乡村空间价值。</w:t>
      </w:r>
      <w:r>
        <w:rPr>
          <w:rFonts w:hint="default" w:ascii="Times New Roman" w:hAnsi="Times New Roman" w:eastAsia="仿宋_GB2312" w:cs="Times New Roman"/>
          <w:sz w:val="32"/>
          <w:szCs w:val="32"/>
          <w:lang w:val="en-US" w:eastAsia="zh-CN"/>
        </w:rPr>
        <w:t>盘活乡村闲置农房，发展乡村办公、文创等复合产业，优化资金配置，促进农民增收与集体经济壮大。实时监测生态承载力，动态调整文旅开发强度，实现“绿水青山”可量化、交易。规划“月罗骑行带”“非遗工坊带”等特色片区，推动稻田变课堂、老宅变展厅、溪流变赛道。</w:t>
      </w:r>
    </w:p>
    <w:p w14:paraId="2DEF1D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3、做优做亮“四片叶子”。</w:t>
      </w:r>
      <w:r>
        <w:rPr>
          <w:rFonts w:hint="default" w:ascii="Times New Roman" w:hAnsi="Times New Roman" w:eastAsia="仿宋_GB2312" w:cs="Times New Roman"/>
          <w:sz w:val="32"/>
          <w:szCs w:val="32"/>
          <w:lang w:val="en-US" w:eastAsia="zh-CN"/>
        </w:rPr>
        <w:t>东片区聚焦提升农田设施水平，打造现代特色农业区。西片区聚焦民俗画、稻田文化、采摘，打造生态休闲旅游区。南片区聚焦人居环境提优，形成生产生活生态相协调的“城市绿肺”。北片区聚焦业态调整实现“腾笼换鸟”，营造质感乡村生活体验地。</w:t>
      </w:r>
    </w:p>
    <w:p w14:paraId="1811AD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51" w:name="_Toc11343"/>
      <w:r>
        <w:rPr>
          <w:rFonts w:hint="default" w:ascii="Times New Roman" w:hAnsi="Times New Roman" w:eastAsia="楷体_GB2312" w:cs="Times New Roman"/>
          <w:b/>
          <w:bCs/>
          <w:sz w:val="32"/>
          <w:szCs w:val="32"/>
          <w:lang w:val="en-US" w:eastAsia="zh-CN"/>
        </w:rPr>
        <w:t>（二）绿色赋能激活乡村新动能</w:t>
      </w:r>
      <w:bookmarkEnd w:id="51"/>
    </w:p>
    <w:p w14:paraId="27E4B8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shd w:val="clear" w:color="auto" w:fill="FFFFFF"/>
          <w:lang w:val="en-US" w:eastAsia="zh-CN" w:bidi="ar-SA"/>
        </w:rPr>
      </w:pPr>
      <w:r>
        <w:rPr>
          <w:rFonts w:hint="default" w:ascii="Times New Roman" w:hAnsi="Times New Roman" w:eastAsia="仿宋_GB2312" w:cs="Times New Roman"/>
          <w:b/>
          <w:bCs/>
          <w:sz w:val="32"/>
          <w:szCs w:val="32"/>
          <w:lang w:val="en-US" w:eastAsia="zh-CN"/>
        </w:rPr>
        <w:t>1、优化农业生产布局。</w:t>
      </w:r>
      <w:r>
        <w:rPr>
          <w:rFonts w:hint="default" w:ascii="Times New Roman" w:hAnsi="Times New Roman" w:eastAsia="仿宋_GB2312" w:cs="Times New Roman"/>
          <w:sz w:val="32"/>
          <w:szCs w:val="32"/>
          <w:lang w:val="en-US" w:eastAsia="zh-CN"/>
        </w:rPr>
        <w:t>着力构建现代农业空间体系，推动主要作物产区向规模连片区域集中，筑牢“藏粮于地、藏粮于技”的空间载体。推动优势品种“走出去”与关键技术“引进来”双向联动。整合罗店乡村特色资源，推动传统文旅向研学课程等现代业态转化。</w:t>
      </w:r>
    </w:p>
    <w:p w14:paraId="7B9FF3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sz w:val="32"/>
          <w:szCs w:val="32"/>
          <w:lang w:val="en-US" w:eastAsia="zh-CN"/>
        </w:rPr>
      </w:pPr>
      <w:bookmarkStart w:id="52" w:name="_Toc10791"/>
      <w:bookmarkStart w:id="53" w:name="_Toc11891"/>
      <w:bookmarkStart w:id="54" w:name="_Toc25613"/>
      <w:bookmarkStart w:id="55" w:name="_Toc8183"/>
      <w:r>
        <w:rPr>
          <w:rFonts w:hint="default" w:ascii="Times New Roman" w:hAnsi="Times New Roman" w:eastAsia="仿宋_GB2312" w:cs="Times New Roman"/>
          <w:b/>
          <w:bCs/>
          <w:sz w:val="32"/>
          <w:szCs w:val="32"/>
          <w:lang w:val="en-US" w:eastAsia="zh-CN"/>
        </w:rPr>
        <w:t>2、推进农业高质量发展。</w:t>
      </w:r>
      <w:r>
        <w:rPr>
          <w:rFonts w:hint="default" w:ascii="Times New Roman" w:hAnsi="Times New Roman" w:eastAsia="仿宋_GB2312" w:cs="Times New Roman"/>
          <w:sz w:val="32"/>
          <w:szCs w:val="32"/>
          <w:lang w:val="en-US" w:eastAsia="zh-CN"/>
        </w:rPr>
        <w:t>以高标准农田、智能农机应用等项目集群建设为抓手，统筹财政资金撬动社会投资，加速发展生态农业、科技农业。深化农科院等产学研协同创新，攻关种源研发、低碳农艺等关键技术。同步推进传统品种改良与新优品种引育，深入强化农业价值链。</w:t>
      </w:r>
      <w:bookmarkEnd w:id="52"/>
      <w:bookmarkEnd w:id="53"/>
      <w:bookmarkEnd w:id="54"/>
      <w:bookmarkEnd w:id="55"/>
    </w:p>
    <w:p w14:paraId="469A0C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3、挖掘农业新质生产力。</w:t>
      </w:r>
      <w:r>
        <w:rPr>
          <w:rFonts w:hint="default" w:ascii="Times New Roman" w:hAnsi="Times New Roman" w:eastAsia="仿宋_GB2312" w:cs="Times New Roman"/>
          <w:sz w:val="32"/>
          <w:szCs w:val="32"/>
          <w:lang w:val="en-US" w:eastAsia="zh-CN"/>
        </w:rPr>
        <w:t>加快构建智慧农业体系，全面提升农业生产效能。聚焦农文旅融合，支持合作社发展休闲农业。孵化一批懂技术、善经营的新型农业经营主体。推动农业资源高效利用与可持续发展深度融合。</w:t>
      </w:r>
    </w:p>
    <w:p w14:paraId="4B4F77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Times New Roman"/>
          <w:b/>
          <w:bCs/>
          <w:sz w:val="32"/>
          <w:szCs w:val="32"/>
          <w:lang w:val="en-US" w:eastAsia="zh-CN"/>
        </w:rPr>
      </w:pPr>
      <w:bookmarkStart w:id="56" w:name="_Toc23283"/>
      <w:r>
        <w:rPr>
          <w:rFonts w:hint="default" w:ascii="Times New Roman" w:hAnsi="Times New Roman" w:eastAsia="楷体_GB2312" w:cs="Times New Roman"/>
          <w:b/>
          <w:bCs/>
          <w:sz w:val="32"/>
          <w:szCs w:val="32"/>
          <w:lang w:val="en-US" w:eastAsia="zh-CN"/>
        </w:rPr>
        <w:t>（三）建设提质塑造乡村新风貌</w:t>
      </w:r>
      <w:bookmarkEnd w:id="56"/>
    </w:p>
    <w:p w14:paraId="07ABDD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bookmarkStart w:id="57" w:name="_Hlk185860086"/>
      <w:r>
        <w:rPr>
          <w:rFonts w:hint="default" w:ascii="Times New Roman" w:hAnsi="Times New Roman" w:eastAsia="仿宋_GB2312" w:cs="Times New Roman"/>
          <w:b/>
          <w:bCs/>
          <w:sz w:val="32"/>
          <w:szCs w:val="32"/>
          <w:lang w:val="en-US" w:eastAsia="zh-CN"/>
        </w:rPr>
        <w:t>1、提升美丽乡村整体格局。</w:t>
      </w:r>
      <w:bookmarkEnd w:id="57"/>
      <w:bookmarkStart w:id="58" w:name="_Hlk185860588"/>
      <w:r>
        <w:rPr>
          <w:rFonts w:hint="default" w:ascii="Times New Roman" w:hAnsi="Times New Roman" w:eastAsia="仿宋_GB2312" w:cs="Times New Roman"/>
          <w:sz w:val="32"/>
          <w:szCs w:val="32"/>
          <w:shd w:val="clear" w:color="auto" w:fill="FFFFFF"/>
        </w:rPr>
        <w:t>以片区化建设导向，坚持风貌协调、产业联动、设施联通、资源共享</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以郊野单元规划修编为推手，推动农民平移集中居住等重点项目实施。</w:t>
      </w:r>
      <w:r>
        <w:rPr>
          <w:rFonts w:hint="default" w:ascii="Times New Roman" w:hAnsi="Times New Roman" w:eastAsia="仿宋_GB2312" w:cs="Times New Roman"/>
          <w:sz w:val="32"/>
          <w:szCs w:val="32"/>
          <w:lang w:val="en-US" w:eastAsia="zh-CN"/>
        </w:rPr>
        <w:t>统筹谋划非保留村健康发展，补齐基本公共服务供给等短板。</w:t>
      </w:r>
      <w:bookmarkEnd w:id="58"/>
    </w:p>
    <w:p w14:paraId="3DFA66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lang w:val="en-US" w:eastAsia="zh-CN"/>
        </w:rPr>
      </w:pPr>
      <w:bookmarkStart w:id="59" w:name="_Toc24287"/>
      <w:bookmarkStart w:id="60" w:name="_Toc10328"/>
      <w:bookmarkStart w:id="61" w:name="_Toc22005"/>
      <w:r>
        <w:rPr>
          <w:rFonts w:hint="default" w:ascii="Times New Roman" w:hAnsi="Times New Roman" w:eastAsia="仿宋_GB2312" w:cs="Times New Roman"/>
          <w:b/>
          <w:bCs/>
          <w:sz w:val="32"/>
          <w:szCs w:val="32"/>
          <w:lang w:val="en-US" w:eastAsia="zh-CN"/>
        </w:rPr>
        <w:t>2、打造月罗片区“五好两宜”和美乡村。</w:t>
      </w:r>
      <w:r>
        <w:rPr>
          <w:rFonts w:hint="default" w:ascii="Times New Roman" w:hAnsi="Times New Roman" w:eastAsia="仿宋_GB2312" w:cs="Times New Roman"/>
          <w:sz w:val="32"/>
          <w:szCs w:val="32"/>
          <w:lang w:val="en-US" w:eastAsia="zh-CN"/>
        </w:rPr>
        <w:t>以集体经济发展和农民增收为核心，整合产业用地发展新兴业态，统筹推进月罗片区“五好两宜”和美乡村建设。深挖沪派水乡文化底蕴，聚焦“水、田、林、路、村、减”与文旅功能拓展有机融合，形成“产村人文”四位一体的乡村振兴示范样板。</w:t>
      </w:r>
      <w:bookmarkEnd w:id="59"/>
      <w:bookmarkEnd w:id="60"/>
      <w:bookmarkEnd w:id="61"/>
    </w:p>
    <w:p w14:paraId="7F2C8B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3、提升人居环境的长效管理水平。</w:t>
      </w:r>
      <w:r>
        <w:rPr>
          <w:rFonts w:hint="default" w:ascii="Times New Roman" w:hAnsi="Times New Roman" w:eastAsia="仿宋_GB2312" w:cs="Times New Roman"/>
          <w:sz w:val="32"/>
          <w:szCs w:val="32"/>
          <w:lang w:val="en-US" w:eastAsia="zh-CN"/>
        </w:rPr>
        <w:t>实现农村地区常态化村容村貌整洁有序、</w:t>
      </w:r>
      <w:r>
        <w:rPr>
          <w:rFonts w:hint="default" w:ascii="Times New Roman" w:hAnsi="Times New Roman" w:eastAsia="仿宋_GB2312" w:cs="Times New Roman"/>
          <w:sz w:val="32"/>
          <w:szCs w:val="32"/>
          <w:lang w:val="en-US" w:eastAsia="zh-CN"/>
        </w:rPr>
        <w:drawing>
          <wp:inline distT="0" distB="0" distL="0" distR="0">
            <wp:extent cx="4445" cy="18415"/>
            <wp:effectExtent l="0" t="0" r="0" b="0"/>
            <wp:docPr id="39627" name="Picture 39627"/>
            <wp:cNvGraphicFramePr/>
            <a:graphic xmlns:a="http://schemas.openxmlformats.org/drawingml/2006/main">
              <a:graphicData uri="http://schemas.openxmlformats.org/drawingml/2006/picture">
                <pic:pic xmlns:pic="http://schemas.openxmlformats.org/drawingml/2006/picture">
                  <pic:nvPicPr>
                    <pic:cNvPr id="39627" name="Picture 39627"/>
                    <pic:cNvPicPr/>
                  </pic:nvPicPr>
                  <pic:blipFill>
                    <a:blip r:embed="rId6"/>
                    <a:stretch>
                      <a:fillRect/>
                    </a:stretch>
                  </pic:blipFill>
                  <pic:spPr>
                    <a:xfrm>
                      <a:off x="0" y="0"/>
                      <a:ext cx="4725" cy="18908"/>
                    </a:xfrm>
                    <a:prstGeom prst="rect">
                      <a:avLst/>
                    </a:prstGeom>
                  </pic:spPr>
                </pic:pic>
              </a:graphicData>
            </a:graphic>
          </wp:inline>
        </w:drawing>
      </w:r>
      <w:r>
        <w:rPr>
          <w:rFonts w:hint="default" w:ascii="Times New Roman" w:hAnsi="Times New Roman" w:eastAsia="仿宋_GB2312" w:cs="Times New Roman"/>
          <w:sz w:val="32"/>
          <w:szCs w:val="32"/>
          <w:lang w:val="en-US" w:eastAsia="zh-CN"/>
        </w:rPr>
        <w:t>乡村生态环境美丽宜居。明确乡村人居环境管护范围，推动乡村产业、人居环境、文化建设、乡村治理、集体经济、长效管护工作持续推进。</w:t>
      </w:r>
    </w:p>
    <w:p w14:paraId="4797E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3A5BD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华文中宋" w:cs="Times New Roman"/>
          <w:b/>
          <w:bCs/>
          <w:sz w:val="36"/>
          <w:szCs w:val="36"/>
          <w:lang w:val="en-US" w:eastAsia="zh-CN"/>
        </w:rPr>
      </w:pPr>
      <w:bookmarkStart w:id="62" w:name="_Toc17550"/>
      <w:bookmarkStart w:id="63" w:name="_Toc6824"/>
      <w:r>
        <w:rPr>
          <w:rFonts w:hint="default" w:ascii="Times New Roman" w:hAnsi="Times New Roman" w:eastAsia="华文中宋" w:cs="Times New Roman"/>
          <w:b/>
          <w:bCs/>
          <w:sz w:val="36"/>
          <w:szCs w:val="36"/>
          <w:lang w:val="en-US" w:eastAsia="zh-CN"/>
        </w:rPr>
        <w:t>第四部分  切实加强组织保障</w:t>
      </w:r>
      <w:bookmarkEnd w:id="62"/>
      <w:bookmarkEnd w:id="63"/>
    </w:p>
    <w:p w14:paraId="57521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06FE0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的二十届四中全会审议通过了《中共中央关于制定国民经济和社会发展第十五个五年规划的建议》，为全面推进中国式现代化指明了方向。全面完成“十五五”规划，责任重大、任务艰巨、使命光荣。我们要更加紧密地团结在以习近平同志为核心的党中央周围，高举习近平新时代中国特色社会主义思想伟大旗帜，凝心聚力、砥砺前行，建立健全规划实施机制，强化统筹协调和制度保障，形成规划合力、政策合力、工作合力，确保“十五五”规划的主要目标、重点任务和重点措施顺利实施，为加快罗店经济社全高质量发展、开启全面建设现代化新征程努力奋斗！</w:t>
      </w:r>
    </w:p>
    <w:p w14:paraId="7EC84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64" w:name="_Toc27070"/>
      <w:bookmarkStart w:id="65" w:name="_Toc9324"/>
      <w:r>
        <w:rPr>
          <w:rFonts w:hint="default" w:ascii="Times New Roman" w:hAnsi="Times New Roman" w:eastAsia="黑体" w:cs="Times New Roman"/>
          <w:sz w:val="32"/>
          <w:szCs w:val="32"/>
          <w:lang w:val="en-US" w:eastAsia="zh-CN"/>
        </w:rPr>
        <w:t>一、坚持党的领导</w:t>
      </w:r>
      <w:bookmarkEnd w:id="64"/>
      <w:bookmarkEnd w:id="65"/>
    </w:p>
    <w:p w14:paraId="0015E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党总揽全局、协调各方，充分发挥镇党委领导核心作用，为实现“十五五”规划提供坚强保证。坚持党要管党，全面从严治党，加强党的执政能力建设、先进性和纯洁性建设，全面推进党的政治建设、思想建设、组织建设、作风建设、纪律建设。调动党员积极性、主动性、创造性，更好带领群众全面建设社会主义现代化新征程。注重发挥工会、共青团、妇联等群团组织的作用以及民主党派、工商联和无党派人士作用，最大限度凝聚全社会共识和力量。</w:t>
      </w:r>
    </w:p>
    <w:p w14:paraId="7556E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66" w:name="_Toc25150"/>
      <w:bookmarkStart w:id="67" w:name="_Toc14536"/>
      <w:r>
        <w:rPr>
          <w:rFonts w:hint="default" w:ascii="Times New Roman" w:hAnsi="Times New Roman" w:eastAsia="黑体" w:cs="Times New Roman"/>
          <w:sz w:val="32"/>
          <w:szCs w:val="32"/>
          <w:lang w:val="en-US" w:eastAsia="zh-CN"/>
        </w:rPr>
        <w:t>二、强化组织建设</w:t>
      </w:r>
      <w:bookmarkEnd w:id="66"/>
      <w:bookmarkEnd w:id="67"/>
    </w:p>
    <w:p w14:paraId="06A23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由镇党政班子为成员的“十五五”规划实施工作领导小组，对规划实施推进工作中的重大事项进行统一部署、综合协调和科学决策，做好统筹协调和阶段性总结工作。在规划实施过程中，建立责权分明、团结协作、沟通流畅的工作机制，把各项决策部署落到实处。建立动态监测和评估机制，强化对规划实施情况的跟踪分析和督促检查。完善社会监督机制，鼓励公众积极参与规划的实施和监督。</w:t>
      </w:r>
    </w:p>
    <w:p w14:paraId="79FF0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bookmarkStart w:id="68" w:name="_Toc24506"/>
      <w:bookmarkStart w:id="69" w:name="_Toc28793"/>
      <w:r>
        <w:rPr>
          <w:rFonts w:hint="default" w:ascii="Times New Roman" w:hAnsi="Times New Roman" w:eastAsia="黑体" w:cs="Times New Roman"/>
          <w:sz w:val="32"/>
          <w:szCs w:val="32"/>
          <w:lang w:val="en-US" w:eastAsia="zh-CN"/>
        </w:rPr>
        <w:t>三、强化规划引领</w:t>
      </w:r>
      <w:bookmarkEnd w:id="68"/>
      <w:bookmarkEnd w:id="69"/>
    </w:p>
    <w:p w14:paraId="639A0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统筹管理和衔接协调，以“十五五”国民经济和社会发展总体规划为统领，明确各项工作具体目标任务，制定促进重大项目、重大工程、重大平台、重大民生、重大改革的相关政策，滚动调整编制符合本规划实施需要的财政规划，切实贯彻落实本规划与土地、环保、投资等政策的统筹协调，实现整体升级和局部发展协调统一，全力保障规划目标如期实现。</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B5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346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F346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3F7B560">
      <w:pPr>
        <w:pStyle w:val="7"/>
        <w:snapToGrid w:val="0"/>
      </w:pPr>
      <w:r>
        <w:rPr>
          <w:rStyle w:val="11"/>
        </w:rPr>
        <w:footnoteRef/>
      </w:r>
      <w:r>
        <w:t xml:space="preserve"> </w:t>
      </w:r>
      <w:r>
        <w:rPr>
          <w:rFonts w:hint="eastAsia"/>
        </w:rPr>
        <w:t>“两旧一村”指旧区、旧里、城中村</w:t>
      </w:r>
    </w:p>
  </w:footnote>
  <w:footnote w:id="1">
    <w:p w14:paraId="5EABFB1C">
      <w:pPr>
        <w:pStyle w:val="7"/>
        <w:snapToGrid w:val="0"/>
        <w:rPr>
          <w:rFonts w:hint="default" w:eastAsiaTheme="minorEastAsia"/>
          <w:lang w:val="en-US" w:eastAsia="zh-CN"/>
        </w:rPr>
      </w:pPr>
      <w:r>
        <w:rPr>
          <w:rStyle w:val="11"/>
        </w:rPr>
        <w:footnoteRef/>
      </w:r>
      <w:r>
        <w:t xml:space="preserve"> </w:t>
      </w:r>
      <w:r>
        <w:rPr>
          <w:rFonts w:hint="eastAsia"/>
          <w:lang w:val="en-US" w:eastAsia="zh-CN"/>
        </w:rPr>
        <w:t>1+3+N：“1”个总规统领，“3”类专项支撑，“N”个村庄设计。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67E3D"/>
    <w:rsid w:val="002071BC"/>
    <w:rsid w:val="00F44F67"/>
    <w:rsid w:val="02703DDD"/>
    <w:rsid w:val="02B7333A"/>
    <w:rsid w:val="0334789D"/>
    <w:rsid w:val="038B031D"/>
    <w:rsid w:val="03AF309D"/>
    <w:rsid w:val="047503B5"/>
    <w:rsid w:val="049E1128"/>
    <w:rsid w:val="04CD5F69"/>
    <w:rsid w:val="054658DC"/>
    <w:rsid w:val="058C18CE"/>
    <w:rsid w:val="05A77BDF"/>
    <w:rsid w:val="05A94AB8"/>
    <w:rsid w:val="05CA098C"/>
    <w:rsid w:val="06263B63"/>
    <w:rsid w:val="065705A0"/>
    <w:rsid w:val="06D73DA6"/>
    <w:rsid w:val="07174C5C"/>
    <w:rsid w:val="074E4E7E"/>
    <w:rsid w:val="0790317A"/>
    <w:rsid w:val="07FC5C55"/>
    <w:rsid w:val="082A41F5"/>
    <w:rsid w:val="0909610C"/>
    <w:rsid w:val="0AA0047E"/>
    <w:rsid w:val="0B404C9A"/>
    <w:rsid w:val="0B596127"/>
    <w:rsid w:val="0B8B278F"/>
    <w:rsid w:val="0BB978C9"/>
    <w:rsid w:val="0C2506CA"/>
    <w:rsid w:val="0C796AFD"/>
    <w:rsid w:val="0CC14EC5"/>
    <w:rsid w:val="0D1242A7"/>
    <w:rsid w:val="0D6F30AF"/>
    <w:rsid w:val="0E7856AA"/>
    <w:rsid w:val="0E9B064A"/>
    <w:rsid w:val="104D0665"/>
    <w:rsid w:val="10B32CDB"/>
    <w:rsid w:val="11251A09"/>
    <w:rsid w:val="113634C4"/>
    <w:rsid w:val="11416F6F"/>
    <w:rsid w:val="116C480C"/>
    <w:rsid w:val="11E960B5"/>
    <w:rsid w:val="12074558"/>
    <w:rsid w:val="13931707"/>
    <w:rsid w:val="145D29CB"/>
    <w:rsid w:val="14FA32EB"/>
    <w:rsid w:val="15F2526B"/>
    <w:rsid w:val="16790724"/>
    <w:rsid w:val="16B6017E"/>
    <w:rsid w:val="16DB418E"/>
    <w:rsid w:val="178D2ADC"/>
    <w:rsid w:val="1840349F"/>
    <w:rsid w:val="185A507B"/>
    <w:rsid w:val="18AA1406"/>
    <w:rsid w:val="192502A6"/>
    <w:rsid w:val="196E33A7"/>
    <w:rsid w:val="1A17678E"/>
    <w:rsid w:val="1BAD316F"/>
    <w:rsid w:val="1C224E40"/>
    <w:rsid w:val="1C6A3ED7"/>
    <w:rsid w:val="1CAA1865"/>
    <w:rsid w:val="1CD64688"/>
    <w:rsid w:val="1D734FE3"/>
    <w:rsid w:val="1DE256CD"/>
    <w:rsid w:val="1E09266C"/>
    <w:rsid w:val="1E242433"/>
    <w:rsid w:val="1E2B480D"/>
    <w:rsid w:val="1E9123C9"/>
    <w:rsid w:val="1FA96154"/>
    <w:rsid w:val="1FBD6224"/>
    <w:rsid w:val="203759C1"/>
    <w:rsid w:val="207177E8"/>
    <w:rsid w:val="213E02CC"/>
    <w:rsid w:val="21454638"/>
    <w:rsid w:val="2231303B"/>
    <w:rsid w:val="22EE0747"/>
    <w:rsid w:val="22F76B7B"/>
    <w:rsid w:val="234C4978"/>
    <w:rsid w:val="23510E00"/>
    <w:rsid w:val="241B595C"/>
    <w:rsid w:val="243D7784"/>
    <w:rsid w:val="24625D1B"/>
    <w:rsid w:val="24933D64"/>
    <w:rsid w:val="2504136D"/>
    <w:rsid w:val="25E965C8"/>
    <w:rsid w:val="26102E9E"/>
    <w:rsid w:val="26791283"/>
    <w:rsid w:val="26871982"/>
    <w:rsid w:val="27284037"/>
    <w:rsid w:val="27C2106B"/>
    <w:rsid w:val="284D02FF"/>
    <w:rsid w:val="285E7AC9"/>
    <w:rsid w:val="28AD3ACA"/>
    <w:rsid w:val="28F46AAB"/>
    <w:rsid w:val="29276C21"/>
    <w:rsid w:val="2AC0755D"/>
    <w:rsid w:val="2CF55F2A"/>
    <w:rsid w:val="2D1E73A9"/>
    <w:rsid w:val="2D560C70"/>
    <w:rsid w:val="2D5D3996"/>
    <w:rsid w:val="2E820F83"/>
    <w:rsid w:val="2EAD57C7"/>
    <w:rsid w:val="2EC905A9"/>
    <w:rsid w:val="2F21273A"/>
    <w:rsid w:val="2FAD0853"/>
    <w:rsid w:val="2FF427F7"/>
    <w:rsid w:val="30413ABF"/>
    <w:rsid w:val="30475626"/>
    <w:rsid w:val="30534F57"/>
    <w:rsid w:val="307857EE"/>
    <w:rsid w:val="30941A7B"/>
    <w:rsid w:val="31D53E96"/>
    <w:rsid w:val="321060EE"/>
    <w:rsid w:val="32C835E0"/>
    <w:rsid w:val="335A5584"/>
    <w:rsid w:val="33FE5B3A"/>
    <w:rsid w:val="353D75EC"/>
    <w:rsid w:val="3576299F"/>
    <w:rsid w:val="35F9471D"/>
    <w:rsid w:val="37FF5270"/>
    <w:rsid w:val="38892684"/>
    <w:rsid w:val="38E34189"/>
    <w:rsid w:val="39820FA3"/>
    <w:rsid w:val="39AE1C64"/>
    <w:rsid w:val="3A121F97"/>
    <w:rsid w:val="3A126F16"/>
    <w:rsid w:val="3A1B2B90"/>
    <w:rsid w:val="3A3D4395"/>
    <w:rsid w:val="3A9624CA"/>
    <w:rsid w:val="3AA0523C"/>
    <w:rsid w:val="3B3F5886"/>
    <w:rsid w:val="3C373116"/>
    <w:rsid w:val="3CE22BDD"/>
    <w:rsid w:val="3E4B6DFC"/>
    <w:rsid w:val="3E4F771A"/>
    <w:rsid w:val="3F325E90"/>
    <w:rsid w:val="3F6111B8"/>
    <w:rsid w:val="3F7718DC"/>
    <w:rsid w:val="3F8A18E2"/>
    <w:rsid w:val="400F0351"/>
    <w:rsid w:val="40564742"/>
    <w:rsid w:val="40D847A6"/>
    <w:rsid w:val="40F81422"/>
    <w:rsid w:val="42B33FF4"/>
    <w:rsid w:val="42D81437"/>
    <w:rsid w:val="430C0EA1"/>
    <w:rsid w:val="431F4CA5"/>
    <w:rsid w:val="4366367B"/>
    <w:rsid w:val="439B778F"/>
    <w:rsid w:val="43E42415"/>
    <w:rsid w:val="44513165"/>
    <w:rsid w:val="44793C1A"/>
    <w:rsid w:val="448160DE"/>
    <w:rsid w:val="44BD5625"/>
    <w:rsid w:val="45046549"/>
    <w:rsid w:val="47130C1E"/>
    <w:rsid w:val="47971775"/>
    <w:rsid w:val="47C720A8"/>
    <w:rsid w:val="48561630"/>
    <w:rsid w:val="48D415DA"/>
    <w:rsid w:val="49314EF4"/>
    <w:rsid w:val="4AFD0BAD"/>
    <w:rsid w:val="4B533C05"/>
    <w:rsid w:val="4BC60B60"/>
    <w:rsid w:val="4C307108"/>
    <w:rsid w:val="4C482999"/>
    <w:rsid w:val="4C93401A"/>
    <w:rsid w:val="4D1B4F50"/>
    <w:rsid w:val="4D8A69A0"/>
    <w:rsid w:val="4E444D0F"/>
    <w:rsid w:val="4E54216E"/>
    <w:rsid w:val="4F6463E1"/>
    <w:rsid w:val="4FA85D90"/>
    <w:rsid w:val="50030775"/>
    <w:rsid w:val="5019342A"/>
    <w:rsid w:val="51035E5D"/>
    <w:rsid w:val="51131D65"/>
    <w:rsid w:val="519B4F92"/>
    <w:rsid w:val="51B86763"/>
    <w:rsid w:val="520D1C02"/>
    <w:rsid w:val="52B47EF4"/>
    <w:rsid w:val="52CC28E7"/>
    <w:rsid w:val="536536CD"/>
    <w:rsid w:val="53C93DAA"/>
    <w:rsid w:val="53CE4697"/>
    <w:rsid w:val="55DB5323"/>
    <w:rsid w:val="566F7BBC"/>
    <w:rsid w:val="56E416C6"/>
    <w:rsid w:val="56FE6432"/>
    <w:rsid w:val="57313176"/>
    <w:rsid w:val="57E20BA8"/>
    <w:rsid w:val="583355C2"/>
    <w:rsid w:val="58434379"/>
    <w:rsid w:val="589A2E73"/>
    <w:rsid w:val="591C52A6"/>
    <w:rsid w:val="597274C1"/>
    <w:rsid w:val="5A487E55"/>
    <w:rsid w:val="5A557999"/>
    <w:rsid w:val="5B78287C"/>
    <w:rsid w:val="5BEA2DBB"/>
    <w:rsid w:val="5C4902CE"/>
    <w:rsid w:val="5C7730D8"/>
    <w:rsid w:val="5DCF5EBA"/>
    <w:rsid w:val="5E5F408C"/>
    <w:rsid w:val="5E9C71C5"/>
    <w:rsid w:val="5EF656A8"/>
    <w:rsid w:val="5F383D32"/>
    <w:rsid w:val="5F452D9D"/>
    <w:rsid w:val="5FA541B5"/>
    <w:rsid w:val="60170067"/>
    <w:rsid w:val="60E14A9E"/>
    <w:rsid w:val="614D0B2B"/>
    <w:rsid w:val="616D0B7E"/>
    <w:rsid w:val="61722975"/>
    <w:rsid w:val="61BB323E"/>
    <w:rsid w:val="62D732BD"/>
    <w:rsid w:val="632550B7"/>
    <w:rsid w:val="63381C06"/>
    <w:rsid w:val="63922B79"/>
    <w:rsid w:val="64367E3D"/>
    <w:rsid w:val="64405216"/>
    <w:rsid w:val="64B90B25"/>
    <w:rsid w:val="65656F40"/>
    <w:rsid w:val="65910E70"/>
    <w:rsid w:val="65F23FEF"/>
    <w:rsid w:val="664E7D3A"/>
    <w:rsid w:val="66A717F9"/>
    <w:rsid w:val="66B9284F"/>
    <w:rsid w:val="675F50EC"/>
    <w:rsid w:val="67CE3E09"/>
    <w:rsid w:val="680B5C16"/>
    <w:rsid w:val="681A5D7E"/>
    <w:rsid w:val="687E00BB"/>
    <w:rsid w:val="693D1C6D"/>
    <w:rsid w:val="69577674"/>
    <w:rsid w:val="6992305E"/>
    <w:rsid w:val="69BF6B1A"/>
    <w:rsid w:val="6A2353BE"/>
    <w:rsid w:val="6A2C0051"/>
    <w:rsid w:val="6A5C5961"/>
    <w:rsid w:val="6AA6784D"/>
    <w:rsid w:val="6AAC1513"/>
    <w:rsid w:val="6ABB171C"/>
    <w:rsid w:val="6B8F3295"/>
    <w:rsid w:val="6BF750F8"/>
    <w:rsid w:val="6CC00209"/>
    <w:rsid w:val="6DE26EA3"/>
    <w:rsid w:val="6DE97B69"/>
    <w:rsid w:val="6E4476B1"/>
    <w:rsid w:val="6EB30B45"/>
    <w:rsid w:val="6F762A4B"/>
    <w:rsid w:val="715B28EF"/>
    <w:rsid w:val="72020EB6"/>
    <w:rsid w:val="72281098"/>
    <w:rsid w:val="722D3D68"/>
    <w:rsid w:val="72924BDC"/>
    <w:rsid w:val="734A10BB"/>
    <w:rsid w:val="748B3EC4"/>
    <w:rsid w:val="74CC5A0C"/>
    <w:rsid w:val="75716F89"/>
    <w:rsid w:val="76855624"/>
    <w:rsid w:val="76BA413E"/>
    <w:rsid w:val="77B71F95"/>
    <w:rsid w:val="78E54660"/>
    <w:rsid w:val="79585725"/>
    <w:rsid w:val="7C1007BA"/>
    <w:rsid w:val="7D410943"/>
    <w:rsid w:val="7EC565EC"/>
    <w:rsid w:val="7FD3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qFormat/>
    <w:uiPriority w:val="0"/>
    <w:pPr>
      <w:spacing w:before="60" w:line="460" w:lineRule="exact"/>
      <w:ind w:firstLine="480" w:firstLineChars="200"/>
    </w:pPr>
    <w:rPr>
      <w:rFonts w:ascii="宋体" w:hAnsi="宋体"/>
      <w:sz w:val="24"/>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character" w:styleId="11">
    <w:name w:val="footnote reference"/>
    <w:basedOn w:val="10"/>
    <w:qFormat/>
    <w:uiPriority w:val="0"/>
    <w:rPr>
      <w:vertAlign w:val="superscript"/>
    </w:rPr>
  </w:style>
  <w:style w:type="character" w:customStyle="1" w:styleId="12">
    <w:name w:val="font41"/>
    <w:basedOn w:val="10"/>
    <w:qFormat/>
    <w:uiPriority w:val="0"/>
    <w:rPr>
      <w:rFonts w:hint="eastAsia" w:ascii="宋体" w:hAnsi="宋体" w:eastAsia="宋体" w:cs="宋体"/>
      <w:color w:val="FF0000"/>
      <w:sz w:val="22"/>
      <w:szCs w:val="22"/>
      <w:u w:val="none"/>
    </w:r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11"/>
    <w:basedOn w:val="10"/>
    <w:qFormat/>
    <w:uiPriority w:val="0"/>
    <w:rPr>
      <w:rFonts w:hint="eastAsia" w:ascii="宋体" w:hAnsi="宋体" w:eastAsia="宋体" w:cs="宋体"/>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1455</Words>
  <Characters>1527</Characters>
  <Lines>0</Lines>
  <Paragraphs>0</Paragraphs>
  <TotalTime>115</TotalTime>
  <ScaleCrop>false</ScaleCrop>
  <LinksUpToDate>false</LinksUpToDate>
  <CharactersWithSpaces>1589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2025-02-28T06:05:00Z</dcterms:created>
  <dc:creator>王仕杰</dc:creator>
  <cp:lastModifiedBy>王仕杰</cp:lastModifiedBy>
  <cp:lastPrinted>2025-12-24T00:33:00Z</cp:lastPrinted>
  <dcterms:modified xsi:type="dcterms:W3CDTF">2026-03-24T02:13:41Z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C846D0724ECA420286CB36FA519823E1_13</vt:lpwstr>
  </property>
  <property fmtid="{D5CDD505-2E9C-101B-9397-08002B2CF9AE}" pid="4" name="KSOTemplateDocerSaveRecord">
    <vt:lpwstr>eyJoZGlkIjoiNmYwNDBlY2MyNjkxZjcwYTVmNzY3NGIxY2Y3ZTZmNDYiLCJ1c2VySWQiOiIyNTY3MjUyNjQifQ==</vt:lpwstr>
  </property>
</Properties>
</file>