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8D5B0E"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beforeAutospacing="0" w:afterLines="0" w:afterAutospacing="0" w:line="560" w:lineRule="exact"/>
        <w:ind w:firstLine="0" w:firstLineChars="0"/>
        <w:jc w:val="center"/>
        <w:textAlignment w:val="auto"/>
        <w:outlineLvl w:val="0"/>
        <w:rPr>
          <w:rFonts w:hint="default" w:ascii="Times New Roman" w:hAnsi="Times New Roman" w:eastAsia="华文中宋" w:cs="Times New Roman"/>
          <w:b/>
          <w:bCs/>
          <w:kern w:val="44"/>
          <w:sz w:val="44"/>
          <w:szCs w:val="24"/>
          <w:lang w:val="en-US" w:eastAsia="zh-CN" w:bidi="ar-SA"/>
        </w:rPr>
      </w:pPr>
      <w:r>
        <w:rPr>
          <w:rFonts w:hint="default" w:ascii="Times New Roman" w:hAnsi="Times New Roman" w:eastAsia="华文中宋" w:cs="Times New Roman"/>
          <w:b/>
          <w:bCs/>
          <w:kern w:val="44"/>
          <w:sz w:val="44"/>
          <w:szCs w:val="24"/>
          <w:lang w:val="en-US" w:eastAsia="zh-CN" w:bidi="ar-SA"/>
        </w:rPr>
        <w:t>宝山区高境镇2024年法治政府建设情况报告</w:t>
      </w:r>
    </w:p>
    <w:p w14:paraId="59A99FED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default" w:ascii="Times New Roman" w:hAnsi="Times New Roman" w:eastAsia="仿宋_GB2312" w:cs="Times New Roman"/>
          <w:kern w:val="2"/>
          <w:sz w:val="32"/>
          <w:lang w:val="en-US" w:eastAsia="zh-CN"/>
        </w:rPr>
      </w:pPr>
    </w:p>
    <w:p w14:paraId="4AFEC9A5">
      <w:pPr>
        <w:pStyle w:val="7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202</w:t>
      </w:r>
      <w:r>
        <w:rPr>
          <w:rFonts w:hint="default" w:ascii="Times New Roman" w:hAnsi="Times New Roman" w:cs="Times New Roman"/>
          <w:b w:val="0"/>
          <w:bCs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年，高境镇能够坚持以习近平新时代中国特色社会主义思想</w:t>
      </w:r>
      <w:r>
        <w:rPr>
          <w:rFonts w:hint="default" w:ascii="Times New Roman" w:hAnsi="Times New Roman" w:cs="Times New Roman"/>
          <w:b w:val="0"/>
          <w:bCs/>
          <w:sz w:val="32"/>
          <w:szCs w:val="32"/>
          <w:lang w:eastAsia="zh-CN"/>
        </w:rPr>
        <w:t>特别是法治思想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为指导，认真贯彻落实《法治政府建设实施纲要（2021-2025年）》有关规定，紧扣“</w:t>
      </w:r>
      <w:r>
        <w:rPr>
          <w:rFonts w:hint="default" w:ascii="Times New Roman" w:hAnsi="Times New Roman" w:cs="Times New Roman"/>
          <w:b w:val="0"/>
          <w:bCs/>
          <w:sz w:val="32"/>
          <w:szCs w:val="32"/>
          <w:lang w:eastAsia="zh-CN"/>
        </w:rPr>
        <w:t>一地两区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”</w:t>
      </w:r>
      <w:r>
        <w:rPr>
          <w:rFonts w:hint="eastAsia" w:ascii="Times New Roman" w:hAnsi="Times New Roman" w:cs="Times New Roman"/>
          <w:b w:val="0"/>
          <w:bCs/>
          <w:sz w:val="32"/>
          <w:szCs w:val="32"/>
          <w:lang w:eastAsia="zh-CN"/>
        </w:rPr>
        <w:t>建设、发展“六大产业”、建设</w:t>
      </w:r>
      <w:r>
        <w:rPr>
          <w:rFonts w:hint="default" w:ascii="Times New Roman" w:hAnsi="Times New Roman" w:cs="Times New Roman"/>
          <w:b w:val="0"/>
          <w:bCs/>
          <w:sz w:val="32"/>
          <w:szCs w:val="32"/>
          <w:lang w:eastAsia="zh-CN"/>
        </w:rPr>
        <w:t>“四个城区”</w:t>
      </w:r>
      <w:r>
        <w:rPr>
          <w:rFonts w:hint="eastAsia" w:ascii="Times New Roman" w:hAnsi="Times New Roman" w:cs="Times New Roman"/>
          <w:b w:val="0"/>
          <w:bCs/>
          <w:sz w:val="32"/>
          <w:szCs w:val="32"/>
          <w:lang w:eastAsia="zh-CN"/>
        </w:rPr>
        <w:t>中心工作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，</w:t>
      </w:r>
      <w:r>
        <w:rPr>
          <w:rFonts w:hint="default" w:ascii="Times New Roman" w:hAnsi="Times New Roman" w:cs="Times New Roman"/>
          <w:b w:val="0"/>
          <w:bCs/>
          <w:sz w:val="32"/>
          <w:szCs w:val="32"/>
          <w:lang w:eastAsia="zh-CN"/>
        </w:rPr>
        <w:t>以机构改革为契机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，</w:t>
      </w:r>
      <w:r>
        <w:rPr>
          <w:rFonts w:hint="default" w:ascii="Times New Roman" w:hAnsi="Times New Roman" w:cs="Times New Roman"/>
          <w:b w:val="0"/>
          <w:bCs/>
          <w:sz w:val="32"/>
          <w:szCs w:val="32"/>
          <w:lang w:eastAsia="zh-CN"/>
        </w:rPr>
        <w:t>一手抓基层基础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，</w:t>
      </w:r>
      <w:r>
        <w:rPr>
          <w:rFonts w:hint="default" w:ascii="Times New Roman" w:hAnsi="Times New Roman" w:cs="Times New Roman"/>
          <w:b w:val="0"/>
          <w:bCs/>
          <w:sz w:val="32"/>
          <w:szCs w:val="32"/>
          <w:lang w:eastAsia="zh-CN"/>
        </w:rPr>
        <w:t>一手抓改革突破，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法治政府建设呈现稳步发展、整体推进良好态势，现将202</w:t>
      </w:r>
      <w:r>
        <w:rPr>
          <w:rFonts w:hint="default" w:ascii="Times New Roman" w:hAnsi="Times New Roman" w:cs="Times New Roman"/>
          <w:b w:val="0"/>
          <w:bCs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年法治政府建设情况报告如下。</w:t>
      </w:r>
    </w:p>
    <w:p w14:paraId="2DB38599"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beforeAutospacing="0" w:afterLines="0" w:afterAutospacing="0" w:line="560" w:lineRule="exact"/>
        <w:ind w:firstLine="640" w:firstLineChars="200"/>
        <w:jc w:val="both"/>
        <w:textAlignment w:val="auto"/>
        <w:outlineLvl w:val="1"/>
        <w:rPr>
          <w:rFonts w:hint="default" w:ascii="Times New Roman" w:hAnsi="Times New Roman" w:eastAsia="黑体" w:cs="Times New Roman"/>
          <w:kern w:val="2"/>
          <w:sz w:val="32"/>
          <w:szCs w:val="24"/>
          <w:lang w:val="en-US" w:eastAsia="zh-CN" w:bidi="ar-SA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24"/>
          <w:lang w:val="en-US" w:eastAsia="zh-CN" w:bidi="ar-SA"/>
        </w:rPr>
        <w:t>一、202</w:t>
      </w:r>
      <w:r>
        <w:rPr>
          <w:rFonts w:hint="eastAsia" w:ascii="Times New Roman" w:hAnsi="Times New Roman" w:eastAsia="黑体" w:cs="Times New Roman"/>
          <w:kern w:val="2"/>
          <w:sz w:val="32"/>
          <w:szCs w:val="24"/>
          <w:lang w:val="en-US" w:eastAsia="zh-CN" w:bidi="ar-SA"/>
        </w:rPr>
        <w:t>4</w:t>
      </w:r>
      <w:r>
        <w:rPr>
          <w:rFonts w:hint="default" w:ascii="Times New Roman" w:hAnsi="Times New Roman" w:eastAsia="黑体" w:cs="Times New Roman"/>
          <w:kern w:val="2"/>
          <w:sz w:val="32"/>
          <w:szCs w:val="24"/>
          <w:lang w:val="en-US" w:eastAsia="zh-CN" w:bidi="ar-SA"/>
        </w:rPr>
        <w:t>年度推进法治政府建设的主要举措和成效</w:t>
      </w:r>
    </w:p>
    <w:p w14:paraId="055DE481">
      <w:pPr>
        <w:pStyle w:val="7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kern w:val="2"/>
          <w:sz w:val="32"/>
          <w:lang w:val="en-US" w:eastAsia="zh-CN"/>
        </w:rPr>
      </w:pPr>
      <w:r>
        <w:rPr>
          <w:rFonts w:hint="default" w:ascii="Times New Roman" w:hAnsi="Times New Roman" w:cs="Times New Roman"/>
          <w:kern w:val="2"/>
          <w:sz w:val="32"/>
          <w:lang w:val="en-US" w:eastAsia="zh-CN"/>
        </w:rPr>
        <w:t>（一）</w:t>
      </w:r>
      <w:r>
        <w:rPr>
          <w:rFonts w:hint="default" w:ascii="Times New Roman" w:hAnsi="Times New Roman" w:eastAsia="仿宋_GB2312" w:cs="Times New Roman"/>
          <w:kern w:val="2"/>
          <w:sz w:val="32"/>
          <w:lang w:val="en-US" w:eastAsia="zh-CN"/>
        </w:rPr>
        <w:t>强化为民服务，着力打造服务型政府</w:t>
      </w:r>
      <w:r>
        <w:rPr>
          <w:rFonts w:hint="default" w:ascii="Times New Roman" w:hAnsi="Times New Roman" w:cs="Times New Roman"/>
          <w:kern w:val="2"/>
          <w:sz w:val="32"/>
          <w:lang w:val="en-US" w:eastAsia="zh-CN"/>
        </w:rPr>
        <w:t>。</w:t>
      </w:r>
    </w:p>
    <w:p w14:paraId="01EE8343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kern w:val="2"/>
          <w:sz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一是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进一步提升政务服务水平。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积极推进智能服务、帮办服务，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把“办不成事”反映窗口作为政务服务的前沿哨，进一步从问题中剖析内因，再造流程、优化服务，长效化听取群众建议与难题，将民生、民意、民情转化成政务服务提质增效的新动能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严格落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实“两个免于提交”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全年接待群众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39917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人次，服务企业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396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批次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eastAsia="zh-CN"/>
        </w:rPr>
        <w:t>二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eastAsia="zh-CN"/>
        </w:rPr>
        <w:t>是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积极稳妥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处置劳资矛盾，保障劳动者合法权益。全年共受理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602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个劳动案件，同比增加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95.45%，目前已结案585件，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达成调解协议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165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件，调解不成转仲裁诉讼委托接待率达到100%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。</w:t>
      </w:r>
      <w:r>
        <w:rPr>
          <w:rFonts w:hint="default" w:ascii="Times New Roman" w:hAnsi="Times New Roman" w:eastAsia="仿宋_GB2312" w:cs="Times New Roman"/>
          <w:b/>
          <w:bCs/>
          <w:color w:val="000000"/>
          <w:sz w:val="32"/>
          <w:szCs w:val="32"/>
          <w:highlight w:val="none"/>
          <w:lang w:eastAsia="zh-CN"/>
        </w:rPr>
        <w:t>三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eastAsia="zh-CN"/>
        </w:rPr>
        <w:t>是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全面落实政务公开，全年主动公开政府信息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条、党政混合类信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息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条。及时处理群众依申请公开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事项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，积极主动公开政府信息，接受社会监督，保障政府信息公开的渠道畅通，切实保障公众的知情权和监督权。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全年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受理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信息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公开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申请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件，答复率100%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，未发生因信息公开造成的行政复议案件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  <w:t>四是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以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精细化管理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回应民生关切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优化热线工单办理工作流程，着力提高群众反映问题的有效解决率，进一步提升综合满意度。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今年以来，镇12345市民热线共接单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711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件，回访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300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件，实际解决工单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654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件。城运平台共发现上报各类事件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20498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件，整体及时率9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0%，完成率达到9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8.5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0%。</w:t>
      </w:r>
    </w:p>
    <w:p w14:paraId="3348B574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（二）稳步深化改革，推动严格规范文明执法。</w:t>
      </w:r>
    </w:p>
    <w:p w14:paraId="38D1685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根据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2024年度案卷评查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反馈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，我镇执法案卷质量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较好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一是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着力加强综合执法专业化建设，</w:t>
      </w:r>
      <w:r>
        <w:rPr>
          <w:rFonts w:hint="eastAsia" w:ascii="仿宋_GB2312" w:hAnsi="仿宋_GB2312" w:eastAsia="仿宋_GB2312" w:cs="仿宋_GB2312"/>
          <w:color w:val="000000" w:themeColor="text1"/>
          <w:spacing w:val="0"/>
          <w:kern w:val="2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认真落实《上海市贯彻落实</w:t>
      </w:r>
      <w:r>
        <w:rPr>
          <w:rFonts w:hint="eastAsia" w:ascii="汉仪平安行粗简" w:hAnsi="汉仪平安行粗简" w:eastAsia="汉仪平安行粗简" w:cs="汉仪平安行粗简"/>
          <w:color w:val="000000" w:themeColor="text1"/>
          <w:spacing w:val="0"/>
          <w:kern w:val="2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〈</w:t>
      </w:r>
      <w:r>
        <w:rPr>
          <w:rFonts w:hint="eastAsia" w:ascii="仿宋_GB2312" w:hAnsi="仿宋_GB2312" w:eastAsia="仿宋_GB2312" w:cs="仿宋_GB2312"/>
          <w:color w:val="000000" w:themeColor="text1"/>
          <w:spacing w:val="0"/>
          <w:kern w:val="2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提升行政执法质量三年行动计划（2023-2025年）</w:t>
      </w:r>
      <w:r>
        <w:rPr>
          <w:rFonts w:hint="eastAsia" w:ascii="汉仪平安行粗简" w:hAnsi="汉仪平安行粗简" w:eastAsia="汉仪平安行粗简" w:cs="汉仪平安行粗简"/>
          <w:color w:val="000000" w:themeColor="text1"/>
          <w:spacing w:val="0"/>
          <w:kern w:val="2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〉</w:t>
      </w:r>
      <w:r>
        <w:rPr>
          <w:rFonts w:hint="eastAsia" w:ascii="仿宋_GB2312" w:hAnsi="仿宋_GB2312" w:eastAsia="仿宋_GB2312" w:cs="仿宋_GB2312"/>
          <w:color w:val="000000" w:themeColor="text1"/>
          <w:spacing w:val="0"/>
          <w:kern w:val="2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实施方案》，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建立所队联席会议机制，实现司法所、综合执法队工作沟通机制化和常态化，有效把执法监督融入行政执法全过程。全年通过巡查发现机制、投诉平台诉转案机制、五个城运站区域管控机制等，完成一般程序案件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shd w:val="clear" w:color="auto" w:fill="auto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shd w:val="clear" w:color="auto" w:fill="auto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shd w:val="clear" w:color="auto" w:fill="auto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件，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覆盖62类执法事项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二是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全力做好破坏承重墙专项整治工作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全年共处理相关工单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件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紧盯重复投诉和长期未解决投诉件，着力加大工作力度，派专人点对点开展工作，逐步攻克难点。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其中，立案处罚12起，恢复率为100%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三是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拆违控违始终保持高压态势。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全年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拆除新建违法建筑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shd w:val="clear" w:color="auto" w:fill="auto"/>
          <w:lang w:val="en-US" w:eastAsia="zh-CN"/>
        </w:rPr>
        <w:t>42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处，共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11277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平方米，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超额完成年度目标任务。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推进存量违法建筑的拆除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13900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 平方米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，完成年度目标任务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。</w:t>
      </w:r>
    </w:p>
    <w:p w14:paraId="5CEA187D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（三）提供精准法律服务，以法治优化营商环境。</w:t>
      </w:r>
    </w:p>
    <w:p w14:paraId="4B5A2A22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kern w:val="2"/>
          <w:sz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紧扣经济发展大局和中心工作，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坚持把法治化作为优化营商环境的基础保障，项目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化推进涉企公共法律服务精准配送工作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。 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  <w:t>一是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推动服务力量整合，促进服务由“散装”到“组团”。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针对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镇级法律资源“各自为战”“散兵作战”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问题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，整合打造优化营商环境法治保障共同体，发布优化营商环境法治保障服务者名单，让法律服务“平时不打扰、用时不难找”。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  <w:t>二是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完善工作机制，促进服务由“等上门”到“找上门”。依托上海（宝山）科创法律服务中心，打造“1+1+14”公共法律服务体系，将法律服务触角延伸到镇域企业，更好提供“超前一公里”和“最后一公里”法律服务。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  <w:t>三是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实行一园一策，促进服务由“普惠型”到“定制型”。一方面，根据园区产业特色，匹配专业法律服务提供者；另一方面，根据集聚企业类型，为企业提供更加精准的个性化服务。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  <w:t>四是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制定服务清单，促进服务由“套餐式”到“点餐式”。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根据企业实际需求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，针对性编制《公共法律服务项目清单》，涵盖公证服务、仲裁诉讼等八大服务项目。发布以来点单企业178家次，均及时跟进提供服务直至问题实质性化解，真正让企业在公共法律服务领域“解渴”。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相关工作被市司法局评为法治赋能基层治理首批示范项目。</w:t>
      </w:r>
    </w:p>
    <w:p w14:paraId="25D82B88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default" w:ascii="Times New Roman" w:hAnsi="Times New Roman" w:eastAsia="楷体_GB2312" w:cs="Times New Roman"/>
          <w:b/>
          <w:sz w:val="32"/>
          <w:szCs w:val="32"/>
          <w:lang w:eastAsia="zh-CN"/>
        </w:rPr>
      </w:pPr>
      <w:r>
        <w:rPr>
          <w:rFonts w:hint="default" w:ascii="Times New Roman" w:hAnsi="Times New Roman" w:eastAsia="楷体_GB2312" w:cs="Times New Roman"/>
          <w:b/>
          <w:sz w:val="32"/>
          <w:szCs w:val="32"/>
        </w:rPr>
        <w:t>（</w:t>
      </w:r>
      <w:r>
        <w:rPr>
          <w:rFonts w:hint="default" w:ascii="Times New Roman" w:hAnsi="Times New Roman" w:eastAsia="楷体_GB2312" w:cs="Times New Roman"/>
          <w:b/>
          <w:sz w:val="32"/>
          <w:szCs w:val="32"/>
          <w:lang w:eastAsia="zh-CN"/>
        </w:rPr>
        <w:t>四</w:t>
      </w:r>
      <w:r>
        <w:rPr>
          <w:rFonts w:hint="default" w:ascii="Times New Roman" w:hAnsi="Times New Roman" w:eastAsia="楷体_GB2312" w:cs="Times New Roman"/>
          <w:b/>
          <w:sz w:val="32"/>
          <w:szCs w:val="32"/>
        </w:rPr>
        <w:t>）弘扬法治精神，持续筑牢法治建设基石</w:t>
      </w:r>
      <w:r>
        <w:rPr>
          <w:rFonts w:hint="default" w:ascii="Times New Roman" w:hAnsi="Times New Roman" w:eastAsia="楷体_GB2312" w:cs="Times New Roman"/>
          <w:b/>
          <w:sz w:val="32"/>
          <w:szCs w:val="32"/>
          <w:lang w:eastAsia="zh-CN"/>
        </w:rPr>
        <w:t>。</w:t>
      </w:r>
    </w:p>
    <w:p w14:paraId="43FD5F1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/>
          <w:bCs/>
          <w:kern w:val="2"/>
          <w:sz w:val="32"/>
          <w:szCs w:val="32"/>
          <w:lang w:val="en-US" w:eastAsia="zh-CN" w:bidi="ar-SA"/>
        </w:rPr>
        <w:t>一是</w:t>
      </w: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把好法律</w:t>
      </w:r>
      <w:r>
        <w:rPr>
          <w:rFonts w:hint="eastAsia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审核</w:t>
      </w: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关。2024年共开展重大合同法审200件，涉及金额2.09亿元，提出法审修改意见679条，全年未发生因对外签订合同引发的纠纷和诉讼，较好地守住了合同签订法律关。同时，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全年未新发行政复议案件，新发行政诉讼案件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2件、民事诉讼案件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件（我镇为第三人参加诉讼）。</w:t>
      </w:r>
      <w:r>
        <w:rPr>
          <w:rFonts w:hint="default" w:ascii="Times New Roman" w:hAnsi="Times New Roman" w:eastAsia="仿宋_GB2312" w:cs="Times New Roman"/>
          <w:b/>
          <w:bCs/>
          <w:kern w:val="2"/>
          <w:sz w:val="32"/>
          <w:szCs w:val="32"/>
          <w:lang w:val="en-US" w:eastAsia="zh-CN" w:bidi="ar-SA"/>
        </w:rPr>
        <w:t>二是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做实基层法治基础。大力推动市民主法治社区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建设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根据创建工作方案，建立镇居两级创建工作机制，按照软硬件工作齐头并进的创建思路，完成22项创建指标推进，特别是总结提炼了“泰禾八步工作法”具有社区特色的基层民主法治工作做法，在区社工部、区司法局联合检查中获得肯定。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  <w:t>三是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持续开展“八五”普法工作。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用好用足社区法治文化节、《与法同行每天学》、《高境法宣》等普法阵地和法宣工作品牌，结合“3·15”“12·4”等重要普法节点，共开展法宣活动417场，参与群众3400余人次。</w:t>
      </w:r>
    </w:p>
    <w:p w14:paraId="680E717F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default" w:ascii="Times New Roman" w:hAnsi="Times New Roman" w:eastAsia="楷体_GB2312" w:cs="Times New Roman"/>
          <w:b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sz w:val="32"/>
          <w:szCs w:val="32"/>
          <w:lang w:val="en-US" w:eastAsia="zh-CN"/>
        </w:rPr>
        <w:t>（五）强化责任担当，坚决守住法治工作底线</w:t>
      </w:r>
      <w:r>
        <w:rPr>
          <w:rFonts w:hint="eastAsia" w:ascii="Times New Roman" w:hAnsi="Times New Roman" w:eastAsia="楷体_GB2312" w:cs="Times New Roman"/>
          <w:b/>
          <w:sz w:val="32"/>
          <w:szCs w:val="32"/>
          <w:lang w:val="en-US" w:eastAsia="zh-CN"/>
        </w:rPr>
        <w:t>。</w:t>
      </w:r>
    </w:p>
    <w:p w14:paraId="7B9DBCF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  <w:t>一是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做好矛盾分级分类化解。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全年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共排查化解各类矛盾纠纷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1379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件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。特别是大力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推动“三所联动”机制，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形成了派出所、司法所和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律师事务所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相互配合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、相互支撑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的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矛盾化解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工作格局。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今年以来共联动化解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疑难复杂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矛盾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134件，成功率为96.27%。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  <w:t>二是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严格两类人员管控。紧扣“两会”“进博会”等重要节点开展专项排查抽查工作，全年累计训诫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人，对新入矫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37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人按照规定进行风险评估、心理评估，依规批准19人次请假外出。解矫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34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人均实现与安置帮教无缝对接。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  <w:t>三是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做好矛盾缓解化解工作。一方面做好日常矛盾化解，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2"/>
        </w:rPr>
        <w:t>切实解决群众合法合理诉求。另一方面，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加强重大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矛盾纠纷处置，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协调处理长江国际小业主纠纷、教培机构跑路导致的维权纠纷等，确保社会面稳定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</w:p>
    <w:p w14:paraId="69375AA0"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beforeAutospacing="0" w:afterLines="0" w:afterAutospacing="0" w:line="560" w:lineRule="exact"/>
        <w:ind w:firstLine="640" w:firstLineChars="200"/>
        <w:jc w:val="both"/>
        <w:textAlignment w:val="auto"/>
        <w:outlineLvl w:val="1"/>
        <w:rPr>
          <w:rFonts w:hint="default" w:ascii="Times New Roman" w:hAnsi="Times New Roman" w:eastAsia="黑体" w:cs="Times New Roman"/>
          <w:kern w:val="2"/>
          <w:sz w:val="32"/>
          <w:szCs w:val="24"/>
          <w:lang w:val="en-US" w:eastAsia="zh-CN" w:bidi="ar-SA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24"/>
          <w:lang w:val="en-US" w:eastAsia="zh-CN" w:bidi="ar-SA"/>
        </w:rPr>
        <w:t>二、202</w:t>
      </w:r>
      <w:r>
        <w:rPr>
          <w:rFonts w:hint="eastAsia" w:ascii="Times New Roman" w:hAnsi="Times New Roman" w:eastAsia="黑体" w:cs="Times New Roman"/>
          <w:kern w:val="2"/>
          <w:sz w:val="32"/>
          <w:szCs w:val="24"/>
          <w:lang w:val="en-US" w:eastAsia="zh-CN" w:bidi="ar-SA"/>
        </w:rPr>
        <w:t>4</w:t>
      </w:r>
      <w:r>
        <w:rPr>
          <w:rFonts w:hint="default" w:ascii="Times New Roman" w:hAnsi="Times New Roman" w:eastAsia="黑体" w:cs="Times New Roman"/>
          <w:kern w:val="2"/>
          <w:sz w:val="32"/>
          <w:szCs w:val="24"/>
          <w:lang w:val="en-US" w:eastAsia="zh-CN" w:bidi="ar-SA"/>
        </w:rPr>
        <w:t>年度推进法治政府建设存在的不足和原因</w:t>
      </w:r>
    </w:p>
    <w:p w14:paraId="33B500D0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虽然，法治政府建设工作取得了一些成绩，但是对照更高标准，仍然存在一些工作短板，具体表现为：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一是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以法治监督助推行政执法规范化上的成效还不够明显。因执法事项大量下沉，专业性较强的执法事项，综合执法还存在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一定程度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承接不住的问题。作为重大执法事项的法治审核部门，通过审核监督方式推动执法队员业务有提升、程序更规范、处罚整改更到位方面，存在支撑不足的问题，更多的停留在执法案件书面审核层面。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  <w:t>二是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法治宣传从有形覆盖到有效覆盖还存在差距。做到了法治宣传进机关、进园区、进校园、进地铁站、进社区等有形覆盖，但是还停留在种类的覆盖，法治宣传深入程度还不够均衡，有效覆盖还不够。</w:t>
      </w:r>
    </w:p>
    <w:p w14:paraId="2314B884">
      <w:pPr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kern w:val="2"/>
          <w:sz w:val="32"/>
          <w:szCs w:val="24"/>
          <w:lang w:val="en-US" w:eastAsia="zh-CN" w:bidi="ar-SA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24"/>
          <w:lang w:val="en-US" w:eastAsia="zh-CN" w:bidi="ar-SA"/>
        </w:rPr>
        <w:t>主要负责人202</w:t>
      </w:r>
      <w:r>
        <w:rPr>
          <w:rFonts w:hint="eastAsia" w:ascii="Times New Roman" w:hAnsi="Times New Roman" w:eastAsia="黑体" w:cs="Times New Roman"/>
          <w:kern w:val="2"/>
          <w:sz w:val="32"/>
          <w:szCs w:val="24"/>
          <w:lang w:val="en-US" w:eastAsia="zh-CN" w:bidi="ar-SA"/>
        </w:rPr>
        <w:t>4</w:t>
      </w:r>
      <w:r>
        <w:rPr>
          <w:rFonts w:hint="default" w:ascii="Times New Roman" w:hAnsi="Times New Roman" w:eastAsia="黑体" w:cs="Times New Roman"/>
          <w:kern w:val="2"/>
          <w:sz w:val="32"/>
          <w:szCs w:val="24"/>
          <w:lang w:val="en-US" w:eastAsia="zh-CN" w:bidi="ar-SA"/>
        </w:rPr>
        <w:t>年度履行推进法治政府建设第一责任人职责，加强法治政府建设有关情况</w:t>
      </w:r>
    </w:p>
    <w:p w14:paraId="0FEF7894">
      <w:pPr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default" w:ascii="Times New Roman" w:hAnsi="Times New Roman" w:eastAsia="楷体_GB2312" w:cs="Times New Roman"/>
          <w:b/>
          <w:sz w:val="32"/>
          <w:szCs w:val="32"/>
          <w:lang w:eastAsia="zh-CN"/>
        </w:rPr>
      </w:pPr>
      <w:r>
        <w:rPr>
          <w:rFonts w:hint="default" w:ascii="Times New Roman" w:hAnsi="Times New Roman" w:eastAsia="楷体_GB2312" w:cs="Times New Roman"/>
          <w:b/>
          <w:sz w:val="32"/>
          <w:szCs w:val="32"/>
          <w:lang w:eastAsia="zh-CN"/>
        </w:rPr>
        <w:t>围绕“一地两区”建设，打造高能级法律服务体系</w:t>
      </w:r>
      <w:r>
        <w:rPr>
          <w:rFonts w:hint="eastAsia" w:ascii="Times New Roman" w:hAnsi="Times New Roman" w:eastAsia="楷体_GB2312" w:cs="Times New Roman"/>
          <w:b/>
          <w:sz w:val="32"/>
          <w:szCs w:val="32"/>
          <w:lang w:eastAsia="zh-CN"/>
        </w:rPr>
        <w:t>。</w:t>
      </w:r>
    </w:p>
    <w:p w14:paraId="0BB6E5B8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楷体_GB2312" w:cs="Times New Roman"/>
          <w:b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在全力竞速科创赛道大背景下，最大化整合条块资源优势，主动向区司法局“取经”，推动上海（宝山）科创法律服务创新中心落户北大科技园。围绕规模化、专业化、品牌化导向，引入涉外法治、生物医药、影视知识产权等10家品牌律师事务所、1家商事调解中心、8个法律科技类创新项目，高度集成普法宣传、律师服务、商事纠纷调解等功能，形成全周期、一站式涉企法律服务体系。现已累计服务镇域中小微科创企业480家次，帮助科创型企业减少法律服务成本近500万元，挽回损失超2000万元。</w:t>
      </w:r>
      <w:r>
        <w:rPr>
          <w:rFonts w:hint="eastAsia" w:ascii="Times New Roman" w:hAnsi="Times New Roman" w:eastAsia="楷体_GB2312" w:cs="Times New Roman"/>
          <w:b/>
          <w:sz w:val="32"/>
          <w:szCs w:val="32"/>
          <w:lang w:val="en-US" w:eastAsia="zh-CN"/>
        </w:rPr>
        <w:t xml:space="preserve"> </w:t>
      </w:r>
    </w:p>
    <w:p w14:paraId="04AD9F02">
      <w:pPr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jc w:val="both"/>
        <w:textAlignment w:val="auto"/>
        <w:rPr>
          <w:rFonts w:hint="default" w:ascii="Times New Roman" w:hAnsi="Times New Roman" w:eastAsia="楷体_GB2312" w:cs="Times New Roman"/>
          <w:b/>
          <w:sz w:val="32"/>
          <w:szCs w:val="32"/>
          <w:lang w:eastAsia="zh-CN"/>
        </w:rPr>
      </w:pPr>
      <w:r>
        <w:rPr>
          <w:rFonts w:hint="default" w:ascii="Times New Roman" w:hAnsi="Times New Roman" w:eastAsia="楷体_GB2312" w:cs="Times New Roman"/>
          <w:b/>
          <w:sz w:val="32"/>
          <w:szCs w:val="32"/>
          <w:lang w:eastAsia="zh-CN"/>
        </w:rPr>
        <w:t>围绕“一核多圈”布局，打造法治化营商环境高地</w:t>
      </w:r>
      <w:r>
        <w:rPr>
          <w:rFonts w:hint="eastAsia" w:ascii="Times New Roman" w:hAnsi="Times New Roman" w:eastAsia="楷体_GB2312" w:cs="Times New Roman"/>
          <w:b/>
          <w:sz w:val="32"/>
          <w:szCs w:val="32"/>
          <w:lang w:eastAsia="zh-CN"/>
        </w:rPr>
        <w:t>。</w:t>
      </w:r>
    </w:p>
    <w:p w14:paraId="008215FA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积极释放科创法律服务创新中心核心辐射效应，在镇域14家重点科创载体延伸打造公共法律服务工作点，深化网格架构、配送机制建设，更好地为企业提供“超前一公里”和“最后一公里”的法律服务。一方面，坚持 “点对点”配送，聚焦法律服务链与产业链双链融合发展，主动贴合载体特点、企业需求，靶向提供法律服务，精准匹配供需。另一方面，提供“菜单式”服务，围绕公证服务、法律咨询、仲裁诉讼等企业高频诉求，研究编制公共法律服务项目清单，以“你点单、我上菜”的服务模式，高效协助企业完善治理结构，防范法律风险、维护合法权益，实现良性发展。</w:t>
      </w:r>
    </w:p>
    <w:p w14:paraId="4F214B7D">
      <w:pPr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jc w:val="both"/>
        <w:textAlignment w:val="auto"/>
        <w:rPr>
          <w:rFonts w:hint="default" w:ascii="Times New Roman" w:hAnsi="Times New Roman" w:eastAsia="楷体_GB2312" w:cs="Times New Roman"/>
          <w:b/>
          <w:sz w:val="32"/>
          <w:szCs w:val="32"/>
          <w:lang w:eastAsia="zh-CN"/>
        </w:rPr>
      </w:pPr>
      <w:r>
        <w:rPr>
          <w:rFonts w:hint="default" w:ascii="Times New Roman" w:hAnsi="Times New Roman" w:eastAsia="楷体_GB2312" w:cs="Times New Roman"/>
          <w:b/>
          <w:sz w:val="32"/>
          <w:szCs w:val="32"/>
          <w:lang w:eastAsia="zh-CN"/>
        </w:rPr>
        <w:t>围绕“权要进笼”要求，打造示范型基层法治政府</w:t>
      </w:r>
      <w:r>
        <w:rPr>
          <w:rFonts w:hint="eastAsia" w:ascii="Times New Roman" w:hAnsi="Times New Roman" w:eastAsia="楷体_GB2312" w:cs="Times New Roman"/>
          <w:b/>
          <w:sz w:val="32"/>
          <w:szCs w:val="32"/>
          <w:lang w:eastAsia="zh-CN"/>
        </w:rPr>
        <w:t>。</w:t>
      </w:r>
    </w:p>
    <w:p w14:paraId="2224291C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强化法治监督护航高质量发展。建立健全法治政府建设信息收集、研判和运用机制，先后发布《重大执法决定法制审核报告》《重大合同法制审核报告》《涉诉情况报告》，对镇政府履行行政管理职能中可能存在的问题，开展针对性分析评估和风险提示，利用法制审核建议整改，倒逼各业务部门规范履职、文明公正执法，有效促进全面依法行政。创新法治宣传赋能高效能治理。坚持以法治力量引导群众向上向善，聚焦社会治理突出矛盾，选取加梯和消费纠纷多元化解2项成功案例，编排“高境‘枫桥经验’护航社区治理”情景剧，形成可复制、可推广的经验参考，不断以基层治理法治化助力治理能力和治理体系现代化。</w:t>
      </w:r>
    </w:p>
    <w:p w14:paraId="569AC20F"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beforeAutospacing="0" w:afterLines="0" w:afterAutospacing="0" w:line="560" w:lineRule="exact"/>
        <w:ind w:firstLine="640" w:firstLineChars="200"/>
        <w:jc w:val="both"/>
        <w:textAlignment w:val="auto"/>
        <w:outlineLvl w:val="1"/>
        <w:rPr>
          <w:rFonts w:hint="default" w:ascii="Times New Roman" w:hAnsi="Times New Roman" w:eastAsia="黑体" w:cs="Times New Roman"/>
          <w:kern w:val="2"/>
          <w:sz w:val="32"/>
          <w:szCs w:val="24"/>
          <w:lang w:val="en-US" w:eastAsia="zh-CN" w:bidi="ar-SA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24"/>
          <w:lang w:val="en-US" w:eastAsia="zh-CN" w:bidi="ar-SA"/>
        </w:rPr>
        <w:t>四、202</w:t>
      </w:r>
      <w:r>
        <w:rPr>
          <w:rFonts w:hint="eastAsia" w:ascii="Times New Roman" w:hAnsi="Times New Roman" w:eastAsia="黑体" w:cs="Times New Roman"/>
          <w:kern w:val="2"/>
          <w:sz w:val="32"/>
          <w:szCs w:val="24"/>
          <w:lang w:val="en-US" w:eastAsia="zh-CN" w:bidi="ar-SA"/>
        </w:rPr>
        <w:t>5</w:t>
      </w:r>
      <w:r>
        <w:rPr>
          <w:rFonts w:hint="default" w:ascii="Times New Roman" w:hAnsi="Times New Roman" w:eastAsia="黑体" w:cs="Times New Roman"/>
          <w:kern w:val="2"/>
          <w:sz w:val="32"/>
          <w:szCs w:val="24"/>
          <w:lang w:val="en-US" w:eastAsia="zh-CN" w:bidi="ar-SA"/>
        </w:rPr>
        <w:t>年度推进法治政府建设的主要安排</w:t>
      </w:r>
    </w:p>
    <w:p w14:paraId="4E0C67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default" w:ascii="Times New Roman" w:hAnsi="Times New Roman" w:eastAsia="楷体_GB2312" w:cs="Times New Roman"/>
          <w:b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sz w:val="32"/>
          <w:szCs w:val="32"/>
          <w:lang w:val="en-US" w:eastAsia="zh-CN"/>
        </w:rPr>
        <w:t>（一）对照更高标准，加强法治政府建设。</w:t>
      </w:r>
    </w:p>
    <w:p w14:paraId="7509B7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eastAsia" w:ascii="Times New Roman" w:hAnsi="Times New Roman" w:eastAsia="仿宋_GB2312" w:cs="Times New Roman"/>
          <w:kern w:val="2"/>
          <w:sz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2"/>
          <w:sz w:val="32"/>
          <w:lang w:val="en-US" w:eastAsia="zh-CN"/>
        </w:rPr>
        <w:t>结合“十五五”和相关配套文件起草，</w:t>
      </w:r>
      <w:r>
        <w:rPr>
          <w:rFonts w:hint="default" w:ascii="Times New Roman" w:hAnsi="Times New Roman" w:eastAsia="仿宋_GB2312" w:cs="Times New Roman"/>
          <w:kern w:val="2"/>
          <w:sz w:val="32"/>
          <w:lang w:val="en-US" w:eastAsia="zh-CN"/>
        </w:rPr>
        <w:t>按照法定程序进一步规范重大行政决策事项。针对重大合同法审中发现的问题，联合规生办、社会事业办等业务部门分类推动重大合同格式化标准化，更好的保障镇政府权益，有效预防矛盾纠纷。参与综合执法队执法培训，结合重大法审发现执法问题，开展司法所、综合执法队联学联训，共同提高执法规范化水平。</w:t>
      </w:r>
      <w:r>
        <w:rPr>
          <w:rFonts w:hint="eastAsia" w:ascii="Times New Roman" w:hAnsi="Times New Roman" w:eastAsia="仿宋_GB2312" w:cs="Times New Roman"/>
          <w:kern w:val="2"/>
          <w:sz w:val="32"/>
          <w:lang w:val="en-US" w:eastAsia="zh-CN"/>
        </w:rPr>
        <w:t xml:space="preserve"> </w:t>
      </w:r>
    </w:p>
    <w:p w14:paraId="173648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default" w:ascii="Times New Roman" w:hAnsi="Times New Roman" w:eastAsia="楷体_GB2312" w:cs="Times New Roman"/>
          <w:b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sz w:val="32"/>
          <w:szCs w:val="32"/>
          <w:lang w:val="en-US" w:eastAsia="zh-CN"/>
        </w:rPr>
        <w:t>（二）</w:t>
      </w:r>
      <w:r>
        <w:rPr>
          <w:rFonts w:hint="eastAsia" w:ascii="Times New Roman" w:hAnsi="Times New Roman" w:eastAsia="楷体_GB2312" w:cs="Times New Roman"/>
          <w:b/>
          <w:sz w:val="32"/>
          <w:szCs w:val="32"/>
          <w:lang w:val="en-US" w:eastAsia="zh-CN"/>
        </w:rPr>
        <w:t>实施强基工程，</w:t>
      </w:r>
      <w:r>
        <w:rPr>
          <w:rFonts w:hint="default" w:ascii="Times New Roman" w:hAnsi="Times New Roman" w:eastAsia="楷体_GB2312" w:cs="Times New Roman"/>
          <w:b/>
          <w:sz w:val="32"/>
          <w:szCs w:val="32"/>
          <w:lang w:val="en-US" w:eastAsia="zh-CN"/>
        </w:rPr>
        <w:t>大力推动民主法治社区</w:t>
      </w:r>
      <w:r>
        <w:rPr>
          <w:rFonts w:hint="eastAsia" w:ascii="Times New Roman" w:hAnsi="Times New Roman" w:eastAsia="楷体_GB2312" w:cs="Times New Roman"/>
          <w:b/>
          <w:sz w:val="32"/>
          <w:szCs w:val="32"/>
          <w:lang w:val="en-US" w:eastAsia="zh-CN"/>
        </w:rPr>
        <w:t>建设</w:t>
      </w:r>
      <w:r>
        <w:rPr>
          <w:rFonts w:hint="default" w:ascii="Times New Roman" w:hAnsi="Times New Roman" w:eastAsia="楷体_GB2312" w:cs="Times New Roman"/>
          <w:b/>
          <w:sz w:val="32"/>
          <w:szCs w:val="32"/>
          <w:lang w:val="en-US" w:eastAsia="zh-CN"/>
        </w:rPr>
        <w:t>。</w:t>
      </w:r>
    </w:p>
    <w:p w14:paraId="4C535726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kern w:val="2"/>
          <w:sz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2"/>
          <w:sz w:val="32"/>
          <w:lang w:val="en-US" w:eastAsia="zh-CN"/>
        </w:rPr>
        <w:t>坚持党建引领民主法治社区</w:t>
      </w:r>
      <w:r>
        <w:rPr>
          <w:rFonts w:hint="eastAsia" w:ascii="Times New Roman" w:hAnsi="Times New Roman" w:eastAsia="仿宋_GB2312" w:cs="Times New Roman"/>
          <w:kern w:val="2"/>
          <w:sz w:val="32"/>
          <w:lang w:val="en-US" w:eastAsia="zh-CN"/>
        </w:rPr>
        <w:t>建设</w:t>
      </w:r>
      <w:r>
        <w:rPr>
          <w:rFonts w:hint="default" w:ascii="Times New Roman" w:hAnsi="Times New Roman" w:eastAsia="仿宋_GB2312" w:cs="Times New Roman"/>
          <w:kern w:val="2"/>
          <w:sz w:val="32"/>
          <w:lang w:val="en-US" w:eastAsia="zh-CN"/>
        </w:rPr>
        <w:t>，支持居委会管理社区事务、服务居民群众，支持和保障居民依法开展自治活动、参与社区事务管理，在社区内营造尊重居民权利、规范社区事务运行、崇尚尊法守法的良好氛围。</w:t>
      </w:r>
      <w:r>
        <w:rPr>
          <w:rFonts w:hint="eastAsia" w:ascii="Times New Roman" w:hAnsi="Times New Roman" w:eastAsia="仿宋_GB2312" w:cs="Times New Roman"/>
          <w:kern w:val="2"/>
          <w:sz w:val="32"/>
          <w:lang w:val="en-US" w:eastAsia="zh-CN"/>
        </w:rPr>
        <w:t>同时，通过组建</w:t>
      </w:r>
      <w:r>
        <w:rPr>
          <w:rFonts w:hint="default" w:ascii="Times New Roman" w:hAnsi="Times New Roman" w:eastAsia="仿宋_GB2312" w:cs="Times New Roman"/>
          <w:kern w:val="2"/>
          <w:sz w:val="32"/>
          <w:lang w:val="en-US" w:eastAsia="zh-CN"/>
        </w:rPr>
        <w:t>镇、居两级专班，加强沟通走访，及时解决</w:t>
      </w:r>
      <w:r>
        <w:rPr>
          <w:rFonts w:hint="eastAsia" w:ascii="Times New Roman" w:hAnsi="Times New Roman" w:eastAsia="仿宋_GB2312" w:cs="Times New Roman"/>
          <w:kern w:val="2"/>
          <w:sz w:val="32"/>
          <w:lang w:val="en-US" w:eastAsia="zh-CN"/>
        </w:rPr>
        <w:t>民主法治社区建设</w:t>
      </w:r>
      <w:r>
        <w:rPr>
          <w:rFonts w:hint="default" w:ascii="Times New Roman" w:hAnsi="Times New Roman" w:eastAsia="仿宋_GB2312" w:cs="Times New Roman"/>
          <w:kern w:val="2"/>
          <w:sz w:val="32"/>
          <w:lang w:val="en-US" w:eastAsia="zh-CN"/>
        </w:rPr>
        <w:t>工作中的困难，以有力的组织保障</w:t>
      </w:r>
      <w:r>
        <w:rPr>
          <w:rFonts w:hint="eastAsia" w:ascii="Times New Roman" w:hAnsi="Times New Roman" w:eastAsia="仿宋_GB2312" w:cs="Times New Roman"/>
          <w:kern w:val="2"/>
          <w:sz w:val="32"/>
          <w:lang w:val="en-US" w:eastAsia="zh-CN"/>
        </w:rPr>
        <w:t>建设工作取得实效</w:t>
      </w:r>
      <w:r>
        <w:rPr>
          <w:rFonts w:hint="default" w:ascii="Times New Roman" w:hAnsi="Times New Roman" w:eastAsia="仿宋_GB2312" w:cs="Times New Roman"/>
          <w:kern w:val="2"/>
          <w:sz w:val="32"/>
          <w:lang w:val="en-US" w:eastAsia="zh-CN"/>
        </w:rPr>
        <w:t>。</w:t>
      </w:r>
    </w:p>
    <w:p w14:paraId="0E1CF9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default" w:ascii="Times New Roman" w:hAnsi="Times New Roman" w:eastAsia="楷体_GB2312" w:cs="Times New Roman"/>
          <w:b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sz w:val="32"/>
          <w:szCs w:val="32"/>
          <w:lang w:val="en-US" w:eastAsia="zh-CN"/>
        </w:rPr>
        <w:t>（三）按照法治网格达标创建理念，提升法治社会建设质量。</w:t>
      </w:r>
    </w:p>
    <w:p w14:paraId="558FB608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kern w:val="2"/>
          <w:sz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2"/>
          <w:sz w:val="32"/>
          <w:lang w:val="en-US" w:eastAsia="zh-CN"/>
        </w:rPr>
        <w:t>充分整合镇域法治力量，解决法宣有效覆盖与法宣力量不足间的矛盾，构建大法宣格局</w:t>
      </w:r>
      <w:r>
        <w:rPr>
          <w:rFonts w:hint="eastAsia" w:ascii="Times New Roman" w:hAnsi="Times New Roman" w:eastAsia="仿宋_GB2312" w:cs="Times New Roman"/>
          <w:kern w:val="2"/>
          <w:sz w:val="32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kern w:val="2"/>
          <w:sz w:val="32"/>
          <w:lang w:val="en-US" w:eastAsia="zh-CN"/>
        </w:rPr>
        <w:t>坚持好本土法宣品牌的基础上，按照网格化理念，有序推进法宣从有形覆盖到有效覆盖。</w:t>
      </w:r>
      <w:r>
        <w:rPr>
          <w:rFonts w:hint="eastAsia" w:ascii="Times New Roman" w:hAnsi="Times New Roman" w:eastAsia="仿宋_GB2312" w:cs="Times New Roman"/>
          <w:kern w:val="2"/>
          <w:sz w:val="32"/>
          <w:lang w:val="en-US" w:eastAsia="zh-CN"/>
        </w:rPr>
        <w:t>特别是要</w:t>
      </w:r>
      <w:r>
        <w:rPr>
          <w:rFonts w:hint="default" w:ascii="Times New Roman" w:hAnsi="Times New Roman" w:eastAsia="仿宋_GB2312" w:cs="Times New Roman"/>
          <w:kern w:val="2"/>
          <w:sz w:val="32"/>
          <w:lang w:val="en-US" w:eastAsia="zh-CN"/>
        </w:rPr>
        <w:t>按照“八五”普法要求，在我镇法治文化节传统优势品牌基础上，针对学校、园区、街区、部队、社区等网格，开展针对性法治达标创建，进一步在法治宣传工作中深耕细作，通过普法依法治理工作有形有效覆盖，提升高境镇整体法治社会建设质量，助力基层治理能力和治理水平现代化。</w:t>
      </w:r>
    </w:p>
    <w:p w14:paraId="3EA04C89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kern w:val="2"/>
          <w:sz w:val="32"/>
          <w:lang w:val="en-US" w:eastAsia="zh-CN"/>
        </w:rPr>
      </w:pPr>
    </w:p>
    <w:p w14:paraId="756108EE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kern w:val="2"/>
          <w:sz w:val="32"/>
          <w:lang w:val="en-US" w:eastAsia="zh-CN"/>
        </w:rPr>
      </w:pPr>
    </w:p>
    <w:p w14:paraId="43E18FEA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jc w:val="both"/>
        <w:textAlignment w:val="auto"/>
        <w:rPr>
          <w:rFonts w:hint="default" w:ascii="Times New Roman" w:hAnsi="Times New Roman" w:cs="Times New Roman"/>
          <w:lang w:val="en-US" w:eastAsia="zh-CN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7A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汉仪平安行粗简">
    <w:altName w:val="仿宋"/>
    <w:panose1 w:val="00020600040101010101"/>
    <w:charset w:val="86"/>
    <w:family w:val="auto"/>
    <w:pitch w:val="default"/>
    <w:sig w:usb0="00000000" w:usb1="00000000" w:usb2="00000016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9F3EDC"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743B826"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743B826"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F661DB"/>
    <w:multiLevelType w:val="singleLevel"/>
    <w:tmpl w:val="CFF661DB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FF7E5A52"/>
    <w:multiLevelType w:val="singleLevel"/>
    <w:tmpl w:val="FF7E5A52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6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U3NjgyNWNhNjY4N2I0M2E2ZjRkYjI2MTA3ZmRhMmMifQ=="/>
  </w:docVars>
  <w:rsids>
    <w:rsidRoot w:val="46D62C41"/>
    <w:rsid w:val="0006735E"/>
    <w:rsid w:val="000849F8"/>
    <w:rsid w:val="001F3972"/>
    <w:rsid w:val="00451F0E"/>
    <w:rsid w:val="005C3886"/>
    <w:rsid w:val="009B2D35"/>
    <w:rsid w:val="00C6428E"/>
    <w:rsid w:val="0139358F"/>
    <w:rsid w:val="03AC468E"/>
    <w:rsid w:val="04637448"/>
    <w:rsid w:val="04903769"/>
    <w:rsid w:val="055325B0"/>
    <w:rsid w:val="0BE86613"/>
    <w:rsid w:val="0EB544D1"/>
    <w:rsid w:val="0F7A51E5"/>
    <w:rsid w:val="0FBE2F3E"/>
    <w:rsid w:val="10DF2CEA"/>
    <w:rsid w:val="111C06C4"/>
    <w:rsid w:val="122310F5"/>
    <w:rsid w:val="12D67DF1"/>
    <w:rsid w:val="17780FF5"/>
    <w:rsid w:val="17B62948"/>
    <w:rsid w:val="19E25E7C"/>
    <w:rsid w:val="1B776D83"/>
    <w:rsid w:val="1E4C1604"/>
    <w:rsid w:val="27E8730F"/>
    <w:rsid w:val="293D5CB1"/>
    <w:rsid w:val="2A107F25"/>
    <w:rsid w:val="2B737C3A"/>
    <w:rsid w:val="2DE91CC1"/>
    <w:rsid w:val="2E761146"/>
    <w:rsid w:val="2F9B79B8"/>
    <w:rsid w:val="2FDAE665"/>
    <w:rsid w:val="30027765"/>
    <w:rsid w:val="31C92367"/>
    <w:rsid w:val="31D25ABF"/>
    <w:rsid w:val="33095120"/>
    <w:rsid w:val="33FD38B1"/>
    <w:rsid w:val="360E09AB"/>
    <w:rsid w:val="36202541"/>
    <w:rsid w:val="36A5682D"/>
    <w:rsid w:val="376F4EBC"/>
    <w:rsid w:val="3B9D6904"/>
    <w:rsid w:val="3C113B30"/>
    <w:rsid w:val="3D7F59EF"/>
    <w:rsid w:val="3DC5FAA4"/>
    <w:rsid w:val="3DF4CB39"/>
    <w:rsid w:val="3E7F6442"/>
    <w:rsid w:val="3FFF7A90"/>
    <w:rsid w:val="40393EF6"/>
    <w:rsid w:val="4211796B"/>
    <w:rsid w:val="42253337"/>
    <w:rsid w:val="424932EC"/>
    <w:rsid w:val="428B06FD"/>
    <w:rsid w:val="429507B4"/>
    <w:rsid w:val="44155A5A"/>
    <w:rsid w:val="46D62C41"/>
    <w:rsid w:val="49A10959"/>
    <w:rsid w:val="4A025015"/>
    <w:rsid w:val="4AA3206E"/>
    <w:rsid w:val="4B6C036A"/>
    <w:rsid w:val="4B8B2E97"/>
    <w:rsid w:val="4BD80865"/>
    <w:rsid w:val="4BEB48B9"/>
    <w:rsid w:val="4BFFCD7D"/>
    <w:rsid w:val="4DC41546"/>
    <w:rsid w:val="4EEB8D5A"/>
    <w:rsid w:val="4F9FDCE5"/>
    <w:rsid w:val="50254BDC"/>
    <w:rsid w:val="509F6A96"/>
    <w:rsid w:val="50BA413B"/>
    <w:rsid w:val="512F1F78"/>
    <w:rsid w:val="51B90BC3"/>
    <w:rsid w:val="52C12A25"/>
    <w:rsid w:val="52C8512D"/>
    <w:rsid w:val="52D524B9"/>
    <w:rsid w:val="53FBF17C"/>
    <w:rsid w:val="54B4FEE8"/>
    <w:rsid w:val="54D10481"/>
    <w:rsid w:val="56147EB5"/>
    <w:rsid w:val="562E7AEE"/>
    <w:rsid w:val="57F7067E"/>
    <w:rsid w:val="58FDF31B"/>
    <w:rsid w:val="59276526"/>
    <w:rsid w:val="5B38684A"/>
    <w:rsid w:val="5BFE6F5A"/>
    <w:rsid w:val="5CB7275F"/>
    <w:rsid w:val="5CD202F4"/>
    <w:rsid w:val="5CEC8C49"/>
    <w:rsid w:val="5EAB4333"/>
    <w:rsid w:val="5EAE3CFC"/>
    <w:rsid w:val="5F391DAE"/>
    <w:rsid w:val="5FA7598C"/>
    <w:rsid w:val="5FB275B6"/>
    <w:rsid w:val="5FDE2458"/>
    <w:rsid w:val="5FDF405A"/>
    <w:rsid w:val="5FF82D7F"/>
    <w:rsid w:val="6022773C"/>
    <w:rsid w:val="62680BD1"/>
    <w:rsid w:val="62A674AF"/>
    <w:rsid w:val="62D74BFB"/>
    <w:rsid w:val="636F6944"/>
    <w:rsid w:val="64C1444E"/>
    <w:rsid w:val="64DE4336"/>
    <w:rsid w:val="65E85F1B"/>
    <w:rsid w:val="67EB2546"/>
    <w:rsid w:val="67EFB843"/>
    <w:rsid w:val="67F338FE"/>
    <w:rsid w:val="67F389FD"/>
    <w:rsid w:val="686450E9"/>
    <w:rsid w:val="692D47F1"/>
    <w:rsid w:val="696D26D0"/>
    <w:rsid w:val="69AC39AA"/>
    <w:rsid w:val="69F774A5"/>
    <w:rsid w:val="69FB5099"/>
    <w:rsid w:val="6B353C28"/>
    <w:rsid w:val="6C10571F"/>
    <w:rsid w:val="6D0F6658"/>
    <w:rsid w:val="6D6B1E46"/>
    <w:rsid w:val="6E6F61A5"/>
    <w:rsid w:val="6EBFACD8"/>
    <w:rsid w:val="6F57C02C"/>
    <w:rsid w:val="6F5FEBBB"/>
    <w:rsid w:val="6F7A6416"/>
    <w:rsid w:val="6F9FDCB9"/>
    <w:rsid w:val="6FF78864"/>
    <w:rsid w:val="70DF5246"/>
    <w:rsid w:val="71C70D4F"/>
    <w:rsid w:val="735B008E"/>
    <w:rsid w:val="73C72D5E"/>
    <w:rsid w:val="74540F7F"/>
    <w:rsid w:val="746059CB"/>
    <w:rsid w:val="758B70D5"/>
    <w:rsid w:val="75EEFE3D"/>
    <w:rsid w:val="75FA9484"/>
    <w:rsid w:val="76713A4B"/>
    <w:rsid w:val="77BD2824"/>
    <w:rsid w:val="77D3F6A0"/>
    <w:rsid w:val="77DCF2CD"/>
    <w:rsid w:val="78BE4A6D"/>
    <w:rsid w:val="799919B9"/>
    <w:rsid w:val="79FB06EF"/>
    <w:rsid w:val="79FFD83E"/>
    <w:rsid w:val="7A646955"/>
    <w:rsid w:val="7AFACDFC"/>
    <w:rsid w:val="7BB43E6E"/>
    <w:rsid w:val="7BBB60B3"/>
    <w:rsid w:val="7BDF72AF"/>
    <w:rsid w:val="7CBF7AF9"/>
    <w:rsid w:val="7CF594E6"/>
    <w:rsid w:val="7DF76002"/>
    <w:rsid w:val="7E3D7BD7"/>
    <w:rsid w:val="7E8B23D2"/>
    <w:rsid w:val="7ED75D65"/>
    <w:rsid w:val="7EF38651"/>
    <w:rsid w:val="7EFF9CCB"/>
    <w:rsid w:val="7F376261"/>
    <w:rsid w:val="7F5B37C3"/>
    <w:rsid w:val="7F8EE68F"/>
    <w:rsid w:val="7FBBDFB8"/>
    <w:rsid w:val="7FBC0631"/>
    <w:rsid w:val="7FBD257C"/>
    <w:rsid w:val="7FCD880A"/>
    <w:rsid w:val="7FDB0E03"/>
    <w:rsid w:val="7FED8421"/>
    <w:rsid w:val="7FEE64F8"/>
    <w:rsid w:val="7FFB97E8"/>
    <w:rsid w:val="7FFBC6A9"/>
    <w:rsid w:val="7FFF5A38"/>
    <w:rsid w:val="8B936500"/>
    <w:rsid w:val="8FD7E154"/>
    <w:rsid w:val="91FBDD9C"/>
    <w:rsid w:val="9F3A0FB0"/>
    <w:rsid w:val="9F69C25F"/>
    <w:rsid w:val="A6BCDF97"/>
    <w:rsid w:val="AFADC364"/>
    <w:rsid w:val="AFAF650D"/>
    <w:rsid w:val="AFFF2BE8"/>
    <w:rsid w:val="B6B77089"/>
    <w:rsid w:val="B6CCC7C6"/>
    <w:rsid w:val="B6EBEFD8"/>
    <w:rsid w:val="BB674A8D"/>
    <w:rsid w:val="BBA96D20"/>
    <w:rsid w:val="BE5F25F5"/>
    <w:rsid w:val="BEFFBDEB"/>
    <w:rsid w:val="BFF2F22E"/>
    <w:rsid w:val="BFF3D63C"/>
    <w:rsid w:val="CDDC83FB"/>
    <w:rsid w:val="CEBFE7DC"/>
    <w:rsid w:val="CEF3BCA4"/>
    <w:rsid w:val="CF37BFAA"/>
    <w:rsid w:val="CF7B5219"/>
    <w:rsid w:val="CFF39943"/>
    <w:rsid w:val="D26D018B"/>
    <w:rsid w:val="D7D7C824"/>
    <w:rsid w:val="D7EB9675"/>
    <w:rsid w:val="D7EFFD60"/>
    <w:rsid w:val="D9FB4AC6"/>
    <w:rsid w:val="DBAF22F6"/>
    <w:rsid w:val="DBE5D552"/>
    <w:rsid w:val="DBFB6E62"/>
    <w:rsid w:val="DCFC65D8"/>
    <w:rsid w:val="DD7F7FFB"/>
    <w:rsid w:val="DEF3A0A0"/>
    <w:rsid w:val="DF5DBE05"/>
    <w:rsid w:val="DF9DBEE2"/>
    <w:rsid w:val="DFCB8B79"/>
    <w:rsid w:val="DFFB1ED3"/>
    <w:rsid w:val="E3FF690E"/>
    <w:rsid w:val="E6BB9C90"/>
    <w:rsid w:val="E7DF3A00"/>
    <w:rsid w:val="EBFBA1DB"/>
    <w:rsid w:val="EBFF53CE"/>
    <w:rsid w:val="ED570E1F"/>
    <w:rsid w:val="EF2324BB"/>
    <w:rsid w:val="EF5E73D4"/>
    <w:rsid w:val="EF6AC413"/>
    <w:rsid w:val="EFA544FF"/>
    <w:rsid w:val="F0C553F9"/>
    <w:rsid w:val="F55E69DD"/>
    <w:rsid w:val="F5B741BB"/>
    <w:rsid w:val="F6BE48EB"/>
    <w:rsid w:val="F77D9C96"/>
    <w:rsid w:val="F7A74362"/>
    <w:rsid w:val="F7BB4C2A"/>
    <w:rsid w:val="F7FB5614"/>
    <w:rsid w:val="F8E7980F"/>
    <w:rsid w:val="F9AE7922"/>
    <w:rsid w:val="F9FFD33B"/>
    <w:rsid w:val="FBF980FA"/>
    <w:rsid w:val="FBFB8F0D"/>
    <w:rsid w:val="FD53544B"/>
    <w:rsid w:val="FDBB5AB2"/>
    <w:rsid w:val="FEFE0F33"/>
    <w:rsid w:val="FF42C79D"/>
    <w:rsid w:val="FF5E0192"/>
    <w:rsid w:val="FF6F9ABF"/>
    <w:rsid w:val="FF9FC0C3"/>
    <w:rsid w:val="FFAF8EC3"/>
    <w:rsid w:val="FFB771BD"/>
    <w:rsid w:val="FFBDF686"/>
    <w:rsid w:val="FFBF0FCF"/>
    <w:rsid w:val="FFC5F1F6"/>
    <w:rsid w:val="FFCB8F45"/>
    <w:rsid w:val="FFDBC4FA"/>
    <w:rsid w:val="FFEF8876"/>
    <w:rsid w:val="FFF69CA0"/>
    <w:rsid w:val="FFFCBFC3"/>
    <w:rsid w:val="FFFDD421"/>
    <w:rsid w:val="FFFF9829"/>
    <w:rsid w:val="FFFFE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qFormat="1" w:unhideWhenUsed="0" w:uiPriority="99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</w:pPr>
    <w:rPr>
      <w:rFonts w:ascii="Courier New" w:hAnsi="Courier New" w:eastAsia="宋体" w:cs="Courier New"/>
      <w:color w:val="000000"/>
      <w:sz w:val="24"/>
      <w:szCs w:val="24"/>
      <w:lang w:val="zh-CN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4">
    <w:name w:val="heading 2"/>
    <w:next w:val="1"/>
    <w:unhideWhenUsed/>
    <w:qFormat/>
    <w:uiPriority w:val="0"/>
    <w:pPr>
      <w:keepNext/>
      <w:keepLines/>
      <w:widowControl w:val="0"/>
      <w:spacing w:beforeLines="0" w:beforeAutospacing="0" w:afterLines="0" w:afterAutospacing="0" w:line="560" w:lineRule="exact"/>
      <w:ind w:firstLine="880" w:firstLineChars="200"/>
      <w:jc w:val="both"/>
      <w:outlineLvl w:val="1"/>
    </w:pPr>
    <w:rPr>
      <w:rFonts w:ascii="黑体" w:hAnsi="黑体" w:eastAsia="黑体" w:cs="Times New Roman"/>
      <w:kern w:val="2"/>
      <w:sz w:val="32"/>
      <w:szCs w:val="24"/>
      <w:lang w:val="en-US" w:eastAsia="zh-CN" w:bidi="ar-SA"/>
    </w:rPr>
  </w:style>
  <w:style w:type="paragraph" w:styleId="5">
    <w:name w:val="heading 3"/>
    <w:next w:val="1"/>
    <w:link w:val="22"/>
    <w:unhideWhenUsed/>
    <w:qFormat/>
    <w:uiPriority w:val="0"/>
    <w:pPr>
      <w:keepNext/>
      <w:keepLines/>
      <w:widowControl w:val="0"/>
      <w:spacing w:beforeLines="0" w:beforeAutospacing="0" w:afterLines="0" w:afterAutospacing="0" w:line="560" w:lineRule="exact"/>
      <w:ind w:firstLine="880" w:firstLineChars="200"/>
      <w:jc w:val="both"/>
      <w:outlineLvl w:val="2"/>
    </w:pPr>
    <w:rPr>
      <w:rFonts w:ascii="楷体" w:hAnsi="楷体" w:eastAsia="楷体" w:cs="Times New Roman"/>
      <w:b/>
      <w:kern w:val="2"/>
      <w:sz w:val="32"/>
      <w:szCs w:val="24"/>
      <w:lang w:val="en-US" w:eastAsia="zh-CN" w:bidi="ar-SA"/>
    </w:rPr>
  </w:style>
  <w:style w:type="character" w:default="1" w:styleId="14">
    <w:name w:val="Default Paragraph Font"/>
    <w:semiHidden/>
    <w:qFormat/>
    <w:uiPriority w:val="0"/>
  </w:style>
  <w:style w:type="table" w:default="1" w:styleId="1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widowControl w:val="0"/>
      <w:spacing w:line="560" w:lineRule="exact"/>
      <w:ind w:firstLine="2400" w:firstLineChars="200"/>
      <w:jc w:val="both"/>
    </w:pPr>
    <w:rPr>
      <w:rFonts w:ascii="Times New Roman" w:hAnsi="Times New Roman" w:eastAsia="仿宋_GB2312" w:cs="Times New Roman"/>
      <w:color w:val="000000"/>
      <w:kern w:val="2"/>
      <w:sz w:val="32"/>
      <w:szCs w:val="24"/>
      <w:lang w:val="en-US" w:eastAsia="zh-CN" w:bidi="ar-SA"/>
    </w:rPr>
  </w:style>
  <w:style w:type="paragraph" w:styleId="6">
    <w:name w:val="Body Text Indent"/>
    <w:unhideWhenUsed/>
    <w:qFormat/>
    <w:uiPriority w:val="99"/>
    <w:pPr>
      <w:widowControl w:val="0"/>
      <w:spacing w:after="120"/>
      <w:ind w:left="420" w:leftChars="200"/>
    </w:pPr>
    <w:rPr>
      <w:rFonts w:ascii="Courier New" w:hAnsi="Courier New" w:eastAsia="宋体" w:cs="Courier New"/>
      <w:color w:val="000000"/>
      <w:sz w:val="24"/>
      <w:szCs w:val="24"/>
      <w:lang w:val="zh-CN" w:eastAsia="zh-CN" w:bidi="ar-SA"/>
    </w:rPr>
  </w:style>
  <w:style w:type="paragraph" w:styleId="7">
    <w:name w:val="toc 3"/>
    <w:basedOn w:val="1"/>
    <w:next w:val="1"/>
    <w:semiHidden/>
    <w:qFormat/>
    <w:uiPriority w:val="99"/>
    <w:pPr>
      <w:jc w:val="both"/>
    </w:pPr>
    <w:rPr>
      <w:rFonts w:ascii="仿宋_GB2312" w:hAnsi="仿宋" w:eastAsia="仿宋_GB2312" w:cs="仿宋"/>
      <w:b/>
      <w:color w:val="auto"/>
      <w:kern w:val="2"/>
      <w:sz w:val="32"/>
      <w:szCs w:val="32"/>
      <w:lang w:val="en-US"/>
    </w:rPr>
  </w:style>
  <w:style w:type="paragraph" w:styleId="8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footnote text"/>
    <w:basedOn w:val="1"/>
    <w:qFormat/>
    <w:uiPriority w:val="0"/>
    <w:pPr>
      <w:snapToGrid w:val="0"/>
      <w:jc w:val="left"/>
    </w:pPr>
    <w:rPr>
      <w:sz w:val="18"/>
    </w:rPr>
  </w:style>
  <w:style w:type="paragraph" w:styleId="11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2">
    <w:name w:val="Body Text First Indent 2"/>
    <w:unhideWhenUsed/>
    <w:qFormat/>
    <w:uiPriority w:val="99"/>
    <w:pPr>
      <w:widowControl w:val="0"/>
      <w:spacing w:after="120"/>
      <w:ind w:left="420" w:leftChars="200" w:firstLine="420" w:firstLineChars="200"/>
    </w:pPr>
    <w:rPr>
      <w:rFonts w:ascii="Courier New" w:hAnsi="Courier New" w:eastAsia="宋体" w:cs="Courier New"/>
      <w:color w:val="000000"/>
      <w:sz w:val="24"/>
      <w:szCs w:val="24"/>
      <w:lang w:val="zh-CN" w:eastAsia="zh-CN" w:bidi="ar-SA"/>
    </w:rPr>
  </w:style>
  <w:style w:type="character" w:styleId="15">
    <w:name w:val="Strong"/>
    <w:basedOn w:val="14"/>
    <w:qFormat/>
    <w:uiPriority w:val="0"/>
    <w:rPr>
      <w:b/>
    </w:rPr>
  </w:style>
  <w:style w:type="character" w:styleId="16">
    <w:name w:val="footnote reference"/>
    <w:basedOn w:val="14"/>
    <w:qFormat/>
    <w:uiPriority w:val="0"/>
    <w:rPr>
      <w:vertAlign w:val="superscript"/>
    </w:rPr>
  </w:style>
  <w:style w:type="paragraph" w:customStyle="1" w:styleId="17">
    <w:name w:val="段"/>
    <w:qFormat/>
    <w:uiPriority w:val="0"/>
    <w:pPr>
      <w:autoSpaceDE w:val="0"/>
      <w:autoSpaceDN w:val="0"/>
      <w:ind w:firstLine="20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18">
    <w:name w:val="Heading #1|1"/>
    <w:basedOn w:val="1"/>
    <w:qFormat/>
    <w:uiPriority w:val="0"/>
    <w:pPr>
      <w:widowControl w:val="0"/>
      <w:shd w:val="clear" w:color="auto" w:fill="auto"/>
      <w:spacing w:after="310" w:line="557" w:lineRule="exact"/>
      <w:jc w:val="center"/>
      <w:outlineLvl w:val="0"/>
    </w:pPr>
    <w:rPr>
      <w:rFonts w:ascii="宋体" w:hAnsi="宋体" w:eastAsia="宋体" w:cs="宋体"/>
      <w:color w:val="444444"/>
      <w:sz w:val="42"/>
      <w:szCs w:val="42"/>
      <w:u w:val="none"/>
      <w:shd w:val="clear" w:color="auto" w:fill="auto"/>
      <w:lang w:val="zh-TW" w:eastAsia="zh-TW" w:bidi="zh-TW"/>
    </w:rPr>
  </w:style>
  <w:style w:type="paragraph" w:customStyle="1" w:styleId="19">
    <w:name w:val="dash6b63_6587"/>
    <w:basedOn w:val="1"/>
    <w:qFormat/>
    <w:uiPriority w:val="0"/>
    <w:rPr>
      <w:rFonts w:eastAsia="仿宋_GB2312"/>
      <w:kern w:val="0"/>
      <w:sz w:val="20"/>
      <w:szCs w:val="20"/>
    </w:rPr>
  </w:style>
  <w:style w:type="character" w:customStyle="1" w:styleId="20">
    <w:name w:val="navtiao"/>
    <w:qFormat/>
    <w:uiPriority w:val="0"/>
    <w:rPr>
      <w:b/>
      <w:bCs/>
    </w:rPr>
  </w:style>
  <w:style w:type="paragraph" w:customStyle="1" w:styleId="21">
    <w:name w:val="Table Paragraph"/>
    <w:unhideWhenUsed/>
    <w:qFormat/>
    <w:uiPriority w:val="1"/>
    <w:pPr>
      <w:widowControl w:val="0"/>
      <w:autoSpaceDE w:val="0"/>
      <w:autoSpaceDN w:val="0"/>
      <w:adjustRightInd w:val="0"/>
      <w:spacing w:beforeLines="0" w:afterLines="0"/>
    </w:pPr>
    <w:rPr>
      <w:rFonts w:hint="default" w:ascii="等线" w:hAnsi="Times New Roman" w:eastAsia="等线" w:cs="Times New Roman"/>
      <w:sz w:val="24"/>
      <w:szCs w:val="24"/>
      <w:lang w:val="en-US" w:eastAsia="zh-CN"/>
    </w:rPr>
  </w:style>
  <w:style w:type="character" w:customStyle="1" w:styleId="22">
    <w:name w:val="标题 3 Char"/>
    <w:link w:val="5"/>
    <w:qFormat/>
    <w:uiPriority w:val="0"/>
    <w:rPr>
      <w:rFonts w:ascii="楷体" w:hAnsi="楷体" w:eastAsia="楷体" w:cs="Times New Roman"/>
      <w:b/>
      <w:kern w:val="2"/>
      <w:sz w:val="32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6595</Words>
  <Characters>6713</Characters>
  <Lines>0</Lines>
  <Paragraphs>0</Paragraphs>
  <TotalTime>15</TotalTime>
  <ScaleCrop>false</ScaleCrop>
  <LinksUpToDate>false</LinksUpToDate>
  <CharactersWithSpaces>6799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2020-12-17T21:13:00Z</dcterms:created>
  <dc:creator>123</dc:creator>
  <cp:lastModifiedBy>user</cp:lastModifiedBy>
  <cp:lastPrinted>2024-01-20T13:33:00Z</cp:lastPrinted>
  <dcterms:modified xsi:type="dcterms:W3CDTF">2026-05-07T15:53:18Z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C39460014ADFC424EE44FC69A117CB1C_43</vt:lpwstr>
  </property>
</Properties>
</file>