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100" w:afterAutospacing="0" w:line="500" w:lineRule="atLeast"/>
        <w:ind w:left="0" w:right="0" w:firstLine="0"/>
        <w:jc w:val="center"/>
        <w:rPr>
          <w:rFonts w:hint="eastAsia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auto"/>
          <w:spacing w:val="-11"/>
          <w:sz w:val="44"/>
          <w:szCs w:val="44"/>
          <w:shd w:val="clear" w:fill="FFFFFF"/>
        </w:rPr>
        <w:t>宝山区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auto"/>
          <w:spacing w:val="-11"/>
          <w:sz w:val="44"/>
          <w:szCs w:val="44"/>
          <w:shd w:val="clear" w:fill="FFFFFF"/>
          <w:lang w:val="en-US" w:eastAsia="zh-CN"/>
        </w:rPr>
        <w:t>高境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auto"/>
          <w:spacing w:val="-11"/>
          <w:sz w:val="44"/>
          <w:szCs w:val="44"/>
          <w:shd w:val="clear" w:fill="FFFFFF"/>
        </w:rPr>
        <w:t>镇202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auto"/>
          <w:spacing w:val="-11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auto"/>
          <w:spacing w:val="-11"/>
          <w:sz w:val="44"/>
          <w:szCs w:val="44"/>
          <w:shd w:val="clear" w:fill="FFFFFF"/>
        </w:rPr>
        <w:t>年法治政府建设情况报告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left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，高境镇在区委、区政府的坚强领导下，坚持以习近平新时代中国特色社会主义思想为指导，深入学习贯彻党的二十届三中全会精神，严格按照《法治政府建设实施纲要（2021－2025年）》的各项部署与具体要求，紧扣“科创小镇、品质高境”的发展蓝图，系统推进依法行政各项工作，不断改进和优化政务服务、提升行政效能，营造良好的法治环境。现将2025年高境镇法治政府建设工作报告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推进法治政府建设的主要举措和成效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（一）坚持党建引领，夯实法治政府建设根基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始终把加强组织领导作为推进法治建设的根本前提，压紧压实法治建设主体责任。镇党委、镇政府将法治建设纳入年度重点工作任务，明确党政主要负责人为法治建设第一责任人，切实履行组织者、推动者、实践者职责，定期听取工作汇报，研究解决法治建设中的重大问题和关键环节，推动经济社会各项工作依法有序推进、取得实效。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坚持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深化法治学习教育。将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学习贯彻习近平法治思想作为重大政治任务，纳入党委理论学习中心组学习计划，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领导干部带头开展系统学习，发挥“关键少数”的示范引领作用，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全年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共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组织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召开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党委会、镇长办公会会前学法2次，开展多层次、全覆盖法治专题培训69场次，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增强干部队伍的法治意识、提升法治素养。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</w:t>
      </w: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</w:t>
      </w: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）聚焦便民高效，</w:t>
      </w: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深入打造</w:t>
      </w: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服务型政府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ascii="Courier New" w:hAnsi="Courier New" w:cs="Courier New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围绕提升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政府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公共服务质效，持续完善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办理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流程、优化工作机制，不断增强群众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的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获得感和满意度。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一是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推进信息公开和履职申请办理规范化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。研究制定《申请政府信息工作办理流程》《申请履职工作办理流程》。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全年依法办理信息公开214件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，行政履职22件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，其中主动公开政府信息45件，依申请公开169件，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答复率100%，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切实保障群众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的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知情权和监督权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二是</w:t>
      </w:r>
      <w:r>
        <w:rPr>
          <w:rFonts w:hint="eastAsia" w:ascii="仿宋_GB2312" w:hAnsi="Times New Roman" w:eastAsia="仿宋_GB2312" w:cs="仿宋_GB2312"/>
          <w:i w:val="0"/>
          <w:iC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以精细治理回应民生诉求。政务服务持续升级，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“一网通办”全年办件量达5.7万件次，满意率100%。</w:t>
      </w:r>
      <w:r>
        <w:rPr>
          <w:rFonts w:hint="eastAsia" w:ascii="仿宋_GB2312" w:hAnsi="Times New Roman" w:eastAsia="仿宋_GB2312" w:cs="仿宋_GB2312"/>
          <w:i w:val="0"/>
          <w:iC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热线工单办理不断优化，12345市民热线接单5995件，实际解决率82.4%，完成回访2455件，城运平台发现并上报各类事件20318件，及时率98.7%，办结率100%。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是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打开物业治理新格局。</w:t>
      </w:r>
      <w:r>
        <w:rPr>
          <w:rFonts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成立“境享·家”物业服务联合体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eastAsia="zh-CN" w:bidi="ar"/>
        </w:rPr>
        <w:t>，</w:t>
      </w:r>
      <w:r>
        <w:rPr>
          <w:rFonts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制定《强化党建引领物业治理15条措施》，推出24小时服务热线，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累计处理工单6488件，解决率、满意率分别达96.9%、97.2%。四是锚定就业基石和救助底线。全年实现失业人员再就业834人，累计发放救助资金4855万元，惠及3.1万余人次，超额完成目标。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五是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政企法协同赋能营商环境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。将法治保障纳入中小企业服务体系，与重点企业签订法治服务保障协议，深入实施企业“服务包”制度，为企业提供精准、高效的“一对一”“多对一”法治服务，不断优化法治化营商环境。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</w:t>
      </w: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</w:t>
      </w: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）</w:t>
      </w: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规范政府运行</w:t>
      </w: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，推</w:t>
      </w: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动</w:t>
      </w: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依法行政</w:t>
      </w: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走深走实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3"/>
        <w:jc w:val="left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完善依法行政制度体系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，建立“以案促改”的工作模式，优化合法性审查机制，持续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提升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政府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法治化、规范化水平。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一是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完善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重大行政决策机制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落实公众参与、专家论证、集体讨论的程序要求。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法律顾问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全年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参与重大行政决策，提供法律咨询服务38次，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审查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规范性文件6份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。镇“三重一大”事项253件均上会研究讨论。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是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规范开展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合法性审查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工作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。发布合同标准化范本2.0版，进一步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从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源头防控合同风险。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法审部门全年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审查合同291件，涉及金额1.22亿元，提出法律意见和风险提示586条，全年未因合同履行而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发生诉讼和纠纷案件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是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依法办理行政诉讼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和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复议案件。全年办理行政复议7件、行政诉讼9件，行政机关负责人出庭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应诉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率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保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持100%，全年无复议纠错或败诉情况发生。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ourier New" w:hAnsi="Courier New" w:cs="Courier New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</w:t>
      </w: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</w:t>
      </w:r>
      <w:r>
        <w:rPr>
          <w:rFonts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）</w:t>
      </w: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坚持依法用权，推进严格规范文明执法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全面推行行政执法“三项”制度，积极推进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《上海市贯彻落实〈提升行政执法质量三年行动计划（2023-2025年）〉实施方案》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规范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行政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执法行为、提升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执法效能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eastAsia" w:ascii="仿宋_GB2312" w:hAnsi="Courier New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镇综合行政执法队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荣获市城管执法系统立功竞赛活动先进集体称号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一是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着力加强综合执法专业化建设，</w:t>
      </w:r>
      <w:r>
        <w:rPr>
          <w:rFonts w:hint="default" w:ascii="仿宋_GB2312" w:hAnsi="Courier New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严格落实持证上岗、程序规范等要求。</w:t>
      </w:r>
      <w:r>
        <w:rPr>
          <w:rFonts w:hint="default" w:ascii="仿宋_GB2312" w:hAnsi="Courier New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eastAsia="zh-CN" w:bidi="ar"/>
        </w:rPr>
        <w:t>全年共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完成一般程序案件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146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件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、简易程序案件150件，</w:t>
      </w:r>
      <w:r>
        <w:rPr>
          <w:rFonts w:hint="default" w:ascii="仿宋_GB2312" w:hAnsi="Courier New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开展各类执法检查1165次，组织案卷评查9次</w:t>
      </w:r>
      <w:r>
        <w:rPr>
          <w:rFonts w:hint="eastAsia" w:ascii="仿宋_GB2312" w:hAnsi="Courier New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二是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建立健全联勤联动机制。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深化司法所、综合执法队、法律顾问的协同配合，联合开展执法培训与业务交流21次，提升一线执法人员的法律素养和实操能力。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eastAsia="zh-CN" w:bidi="ar"/>
        </w:rPr>
        <w:t>三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是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保持拆违控违高压态势。依法拆除新建违法建筑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13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处，面积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1331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平方米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同步推进存量违法建筑治理，拆除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14446.3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平方米，圆满完成年度目标任务。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eastAsia="zh-CN" w:bidi="ar"/>
        </w:rPr>
        <w:t>四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是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严格执行重大执法决定法制审核。由司法所落实“双审制”，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全年审核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重大执法决定60件，提出审核修改意见111条，防范各类程序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瑕疵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和法律风险。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ourier New" w:hAnsi="Courier New" w:cs="Courier New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</w:t>
      </w: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</w:t>
      </w: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）弘扬法治</w:t>
      </w: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文化</w:t>
      </w: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优化</w:t>
      </w: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法律服务</w:t>
      </w: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供给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</w:pP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实现社区法律顾问全覆盖，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eastAsia="zh-CN" w:bidi="ar"/>
        </w:rPr>
        <w:t>完善长效长治的评价机制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，为居民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遇事找法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eastAsia="zh-CN" w:bidi="ar"/>
        </w:rPr>
        <w:t>、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社区规范运行提供稳定、优质的法律服务支撑。</w:t>
      </w:r>
      <w:r>
        <w:rPr>
          <w:rFonts w:hint="default" w:ascii="仿宋_GB2312" w:hAnsi="Times New Roman" w:eastAsia="仿宋_GB2312" w:cs="仿宋_GB2312"/>
          <w:b/>
          <w:bCs/>
          <w:color w:val="333333"/>
          <w:kern w:val="0"/>
          <w:sz w:val="32"/>
          <w:szCs w:val="32"/>
          <w:shd w:val="clear" w:fill="FFFFFF"/>
          <w:lang w:bidi="ar"/>
        </w:rPr>
        <w:t>一是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发挥“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eastAsia="zh-CN" w:bidi="ar"/>
        </w:rPr>
        <w:t>引路人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”作用。紧扣“一月一主题”普法主线，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送法上门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，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eastAsia="zh-CN" w:bidi="ar"/>
        </w:rPr>
        <w:t>由社区法律顾问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开展法治宣传活动97场、法治书法展1场，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参与人数达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2364人，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累计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发放普法宣传资料2330份，持续增强居民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的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法治意识和规则意识。</w:t>
      </w:r>
      <w:r>
        <w:rPr>
          <w:rFonts w:hint="default" w:ascii="仿宋_GB2312" w:hAnsi="Times New Roman" w:eastAsia="仿宋_GB2312" w:cs="仿宋_GB2312"/>
          <w:b/>
          <w:bCs/>
          <w:color w:val="333333"/>
          <w:kern w:val="0"/>
          <w:sz w:val="32"/>
          <w:szCs w:val="32"/>
          <w:shd w:val="clear" w:fill="FFFFFF"/>
          <w:lang w:bidi="ar"/>
        </w:rPr>
        <w:t>二是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发挥“法律门诊”作用。社区法律顾问贴近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基层和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群众，全年累计提供法律咨询服务1096次，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eastAsia="zh-CN" w:bidi="ar"/>
        </w:rPr>
        <w:t>接受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现场咨询404次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eastAsia="zh-CN" w:bidi="ar"/>
        </w:rPr>
        <w:t>，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电话及线上咨询692次，提升普法工作的实效性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eastAsia="zh-CN" w:bidi="ar"/>
        </w:rPr>
        <w:t>和针对性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。</w:t>
      </w:r>
      <w:r>
        <w:rPr>
          <w:rFonts w:hint="default" w:ascii="仿宋_GB2312" w:hAnsi="Times New Roman" w:eastAsia="仿宋_GB2312" w:cs="仿宋_GB2312"/>
          <w:b/>
          <w:bCs/>
          <w:color w:val="333333"/>
          <w:kern w:val="0"/>
          <w:sz w:val="32"/>
          <w:szCs w:val="32"/>
          <w:shd w:val="clear" w:fill="FFFFFF"/>
          <w:lang w:bidi="ar"/>
        </w:rPr>
        <w:t>三是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发挥“参谋助手”作用。围绕社区治理中的重点事项，为加装电梯、业委会换届、物业选聘等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eastAsia="zh-CN" w:bidi="ar"/>
        </w:rPr>
        <w:t>事项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提供专业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法律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支持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eastAsia="zh-CN" w:bidi="ar"/>
        </w:rPr>
        <w:t>。全年由社区法律顾问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起草法制意见书78份，审核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eastAsia="zh-CN" w:bidi="ar"/>
        </w:rPr>
        <w:t>业委会、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居委会合同54份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eastAsia="zh-CN" w:bidi="ar"/>
        </w:rPr>
        <w:t>，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提升社区治理规范化、法治化水平，夯实法治社区建设基础。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</w:t>
      </w: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</w:t>
      </w: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）</w:t>
      </w: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筑牢安全</w:t>
      </w: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底线，维护社会和谐稳定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both"/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坚持底线思维和法治思维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并重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，统筹推进平安建设与社会治理。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一是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完善矛盾纠纷多元化解机制。坚持调解优先原则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，将矛盾吸附在基层。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全年成功调解各类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矛盾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纠纷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1854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件，达成书面调解协议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184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份，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其中，受理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劳动纠纷案件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586件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，调解成功率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达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81.6%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依托“三所联动”机制化解复杂矛盾纠纷47件，成功率达95.9%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二是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强化重点人群服务管理。围绕重要节点和时段开展专项排查与动态管控，依法对4人进行警示训诫，新接收社区矫正对象32人均完成风险评估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落实针对性监管措施。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二、推进法治政府建设存在的不足和原因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总体来看，法治政府建设取得了一定成效，但对照新形势新要求，仍存在薄弱环节。主要体现在：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一是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部分干部的法治观念仍需增强，运用法治思维和法治方式深化改革、推动发展、化解矛盾的能力有待进一步提升。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二是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法治宣传形式仍需创新，普法内容的针对性有待进一步提高。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三是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跨部门协作机制有待进一步完善。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三、党政主要负责人履行推进法治政府建设第一责任人职责，加强法治政府建设的情况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在推进基层法治建设的实践中，高境镇党政主要负责人切实履行“第一责任人”职责，将法治建设摆在全局工作的突出位置，作为基础性、保障性任务扎实推进，确保依法治理各项重点任务有效落实。一是坚持高位推进，把法治建设纳入全镇经济社会发展总体规划和年度工作要点，与中心工作同部署、同推进。二是充分发挥“头雁效应”，通过党委理论学习中心组专题学习、干部在线学法等多种形式，带头学习习近平法治思想和中央全面依法治国各项决策部署。推动各部门构建权责清晰、程序规范的长效管理机制，形成依法办事、按章履职的政治生态。三是针对法治建设关键环节主动牵头协调，对重点任务实行定期跟踪问效，有力保障集聚区建设、低效用地盘活、老旧小区改造、城市品质提升、网格治理等重点领域工作在法治轨道上运行，取得突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年度推进法治政府建设的主要安排</w:t>
      </w:r>
    </w:p>
    <w:p>
      <w:pPr>
        <w:spacing w:beforeLines="0" w:afterLines="0" w:line="560" w:lineRule="exact"/>
        <w:ind w:firstLine="640"/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一是锚定更高标准，系统提升依法治理整体能级。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对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标法治政府建设新要求，着力推动法治建设从“补短板”向“强能力”转变。持续完善干部学法用法长效机制，组织开展跨部门、跨条线的联合学训，推动法治理念融入决策、执行和治理全过程，切实提升干部运用法治思维和法治方式推进改革发展、防范化解风险、解决复杂问题的综合能力，不断夯实依法治理的制度基础和能力支撑。</w:t>
      </w:r>
    </w:p>
    <w:p>
      <w:pPr>
        <w:spacing w:beforeLines="0" w:afterLines="0" w:line="560" w:lineRule="exact"/>
        <w:ind w:firstLine="643" w:firstLineChars="200"/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二是坚持需求导向，扎实推进法治宣传精准滴灌。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立足基层治理精细化要求，推动普法工作从“覆盖”向“实效”深化。持续擦亮“一月一主题”普法品牌，整合多方力量组建普法联盟，围绕不同群体、不同场景设计普法内容和形式，探索出群众参与度高、体验感强的普法路径，推动法治宣传更好地融入社会治理和公共服务体系。</w:t>
      </w:r>
    </w:p>
    <w:p>
      <w:pPr>
        <w:spacing w:beforeLines="0" w:afterLines="0" w:line="560" w:lineRule="exact"/>
        <w:ind w:firstLine="640"/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三是强化协同联动，着力提高矛盾纠纷多元化解效能。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以推进基层治理现代化为目标，深入践行新时代“枫桥经验”，完善跨部门协作和信息互通机制，更好发挥社区法律顾问在风险研判、纠纷化解中的专业支撑作用，推动调解工作向专业化、规范化、制度化发展。同时，加强人民调解员队伍能力建设，深化“境心调”工作品牌内涵，切实筑牢矛盾纠纷调处化解的“第一道防线”，为区域高质量发展和社会和谐稳定提供坚实保障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C88DB8"/>
    <w:multiLevelType w:val="singleLevel"/>
    <w:tmpl w:val="DDC88D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B441D"/>
    <w:rsid w:val="12F317D9"/>
    <w:rsid w:val="1E0740D4"/>
    <w:rsid w:val="2EE6574A"/>
    <w:rsid w:val="36091134"/>
    <w:rsid w:val="3AEB441D"/>
    <w:rsid w:val="3B4C6740"/>
    <w:rsid w:val="3B6E9884"/>
    <w:rsid w:val="3FF9910F"/>
    <w:rsid w:val="3FFF1EE1"/>
    <w:rsid w:val="415838B3"/>
    <w:rsid w:val="4B877CCF"/>
    <w:rsid w:val="4DDFAF1F"/>
    <w:rsid w:val="51B60E4E"/>
    <w:rsid w:val="54CE74AF"/>
    <w:rsid w:val="55BE84DC"/>
    <w:rsid w:val="5FCD548F"/>
    <w:rsid w:val="758C365A"/>
    <w:rsid w:val="7B3F53CA"/>
    <w:rsid w:val="7BEBF1A8"/>
    <w:rsid w:val="7D7FBFE6"/>
    <w:rsid w:val="7FF5D1AF"/>
    <w:rsid w:val="7FF902E5"/>
    <w:rsid w:val="AFD70752"/>
    <w:rsid w:val="B7FF9AB0"/>
    <w:rsid w:val="BB774FF7"/>
    <w:rsid w:val="E7F5A15D"/>
    <w:rsid w:val="E7F7DFAA"/>
    <w:rsid w:val="ECDFEFAE"/>
    <w:rsid w:val="F93EBD66"/>
    <w:rsid w:val="FBFAA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0"/>
    <w:pPr>
      <w:spacing w:beforeLines="0" w:afterLines="0" w:line="560" w:lineRule="exact"/>
      <w:ind w:firstLine="2400" w:firstLineChars="200"/>
    </w:pPr>
    <w:rPr>
      <w:rFonts w:hint="default" w:ascii="Times New Roman" w:hAnsi="Times New Roman" w:eastAsia="仿宋_GB2312"/>
      <w:color w:val="000000"/>
      <w:sz w:val="32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2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1074</Words>
  <Characters>1155</Characters>
  <Lines>0</Lines>
  <Paragraphs>0</Paragraphs>
  <TotalTime>12</TotalTime>
  <ScaleCrop>false</ScaleCrop>
  <LinksUpToDate>false</LinksUpToDate>
  <CharactersWithSpaces>1155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2026-01-07T13:39:00Z</dcterms:created>
  <dc:creator>Goldson</dc:creator>
  <cp:lastModifiedBy>user</cp:lastModifiedBy>
  <cp:lastPrinted>2026-01-08T15:02:00Z</cp:lastPrinted>
  <dcterms:modified xsi:type="dcterms:W3CDTF">2026-05-13T09:40:42Z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28C412AF47DB12810F41FC6941D6F2BA_43</vt:lpwstr>
  </property>
  <property fmtid="{D5CDD505-2E9C-101B-9397-08002B2CF9AE}" pid="4" name="KSOTemplateDocerSaveRecord">
    <vt:lpwstr>eyJoZGlkIjoiNWJhOTc2MjMzNjNmNjQ2ZDg3OGQyZmQ0YmM0NDdiMmEiLCJ1c2VySWQiOiI1NzAwMTI1NjMifQ==</vt:lpwstr>
  </property>
</Properties>
</file>