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2E6C5">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outlineLvl w:val="9"/>
        <w:rPr>
          <w:rFonts w:hint="eastAsia" w:ascii="华文中宋" w:hAnsi="华文中宋" w:eastAsia="华文中宋" w:cs="华文中宋"/>
          <w:b/>
          <w:bCs/>
          <w:sz w:val="44"/>
          <w:szCs w:val="44"/>
          <w:lang w:val="zh-CN" w:eastAsia="zh-CN"/>
        </w:rPr>
      </w:pPr>
      <w:r>
        <w:rPr>
          <w:rFonts w:hint="eastAsia" w:ascii="华文中宋" w:hAnsi="华文中宋" w:eastAsia="华文中宋" w:cs="华文中宋"/>
          <w:b/>
          <w:bCs/>
          <w:sz w:val="44"/>
          <w:szCs w:val="44"/>
          <w:lang w:val="en-US" w:eastAsia="zh-CN"/>
        </w:rPr>
        <w:t>上海市</w:t>
      </w:r>
      <w:r>
        <w:rPr>
          <w:rFonts w:hint="eastAsia" w:ascii="华文中宋" w:hAnsi="华文中宋" w:eastAsia="华文中宋" w:cs="华文中宋"/>
          <w:b/>
          <w:bCs/>
          <w:sz w:val="44"/>
          <w:szCs w:val="44"/>
          <w:lang w:val="zh-CN"/>
        </w:rPr>
        <w:t>宝山区</w:t>
      </w:r>
      <w:r>
        <w:rPr>
          <w:rFonts w:hint="eastAsia" w:ascii="华文中宋" w:hAnsi="华文中宋" w:eastAsia="华文中宋" w:cs="华文中宋"/>
          <w:b/>
          <w:bCs/>
          <w:sz w:val="44"/>
          <w:szCs w:val="44"/>
          <w:lang w:val="en-US" w:eastAsia="zh-CN"/>
        </w:rPr>
        <w:t>绿色低碳转型</w:t>
      </w:r>
      <w:r>
        <w:rPr>
          <w:rFonts w:hint="eastAsia" w:ascii="华文中宋" w:hAnsi="华文中宋" w:eastAsia="华文中宋" w:cs="华文中宋"/>
          <w:b/>
          <w:bCs/>
          <w:sz w:val="44"/>
          <w:szCs w:val="44"/>
          <w:lang w:val="zh-CN"/>
        </w:rPr>
        <w:t>“十五五”</w:t>
      </w:r>
      <w:r>
        <w:rPr>
          <w:rFonts w:hint="eastAsia" w:ascii="华文中宋" w:hAnsi="华文中宋" w:eastAsia="华文中宋" w:cs="华文中宋"/>
          <w:b/>
          <w:bCs/>
          <w:sz w:val="44"/>
          <w:szCs w:val="44"/>
          <w:lang w:val="en-US" w:eastAsia="zh-CN"/>
        </w:rPr>
        <w:t>规划</w:t>
      </w:r>
    </w:p>
    <w:p w14:paraId="3A5DDE22">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outlineLvl w:val="9"/>
        <w:rPr>
          <w:rFonts w:hint="eastAsia" w:ascii="华文中宋" w:hAnsi="华文中宋" w:eastAsia="华文中宋" w:cs="华文中宋"/>
          <w:b/>
          <w:bCs/>
          <w:sz w:val="44"/>
          <w:szCs w:val="44"/>
          <w:lang w:val="en-US" w:eastAsia="zh-CN"/>
        </w:rPr>
      </w:pPr>
      <w:r>
        <w:rPr>
          <w:rFonts w:hint="eastAsia" w:ascii="华文中宋" w:hAnsi="华文中宋" w:eastAsia="华文中宋" w:cs="华文中宋"/>
          <w:b/>
          <w:bCs/>
          <w:sz w:val="44"/>
          <w:szCs w:val="44"/>
          <w:lang w:val="en-US" w:eastAsia="zh-CN"/>
        </w:rPr>
        <w:t>专家意见建议</w:t>
      </w:r>
    </w:p>
    <w:p w14:paraId="55CD526F">
      <w:pPr>
        <w:keepNext w:val="0"/>
        <w:keepLines w:val="0"/>
        <w:pageBreakBefore w:val="0"/>
        <w:widowControl/>
        <w:tabs>
          <w:tab w:val="left" w:pos="3452"/>
        </w:tabs>
        <w:kinsoku/>
        <w:wordWrap/>
        <w:overflowPunct/>
        <w:topLinePunct w:val="0"/>
        <w:autoSpaceDE/>
        <w:autoSpaceDN/>
        <w:bidi w:val="0"/>
        <w:adjustRightInd w:val="0"/>
        <w:snapToGrid w:val="0"/>
        <w:spacing w:line="600" w:lineRule="exact"/>
        <w:jc w:val="both"/>
        <w:textAlignment w:val="auto"/>
        <w:outlineLvl w:val="9"/>
        <w:rPr>
          <w:rFonts w:hint="default" w:ascii="Times New Roman" w:hAnsi="Times New Roman" w:eastAsia="仿宋_GB2312" w:cs="Times New Roman"/>
          <w:color w:val="auto"/>
          <w:sz w:val="32"/>
          <w:szCs w:val="32"/>
          <w:highlight w:val="none"/>
          <w:lang w:val="en-US" w:eastAsia="zh-CN"/>
        </w:rPr>
      </w:pPr>
    </w:p>
    <w:p w14:paraId="4F23AC6B">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outlineLvl w:val="9"/>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sz w:val="32"/>
          <w:szCs w:val="32"/>
          <w:highlight w:val="none"/>
          <w:lang w:val="en-US" w:eastAsia="zh-CN"/>
        </w:rPr>
        <w:t>2025年</w:t>
      </w:r>
      <w:r>
        <w:rPr>
          <w:rFonts w:hint="eastAsia" w:ascii="Times New Roman" w:hAnsi="Times New Roman" w:eastAsia="仿宋_GB2312" w:cs="Times New Roman"/>
          <w:color w:val="auto"/>
          <w:sz w:val="32"/>
          <w:szCs w:val="32"/>
          <w:highlight w:val="none"/>
          <w:lang w:val="en-US" w:eastAsia="zh-CN"/>
        </w:rPr>
        <w:t>12</w:t>
      </w:r>
      <w:r>
        <w:rPr>
          <w:rFonts w:hint="default" w:ascii="Times New Roman" w:hAnsi="Times New Roman" w:eastAsia="仿宋_GB2312" w:cs="Times New Roman"/>
          <w:color w:val="auto"/>
          <w:sz w:val="32"/>
          <w:szCs w:val="32"/>
          <w:highlight w:val="none"/>
          <w:lang w:val="en-US" w:eastAsia="zh-CN"/>
        </w:rPr>
        <w:t>月，</w:t>
      </w:r>
      <w:r>
        <w:rPr>
          <w:rFonts w:hint="eastAsia" w:ascii="Times New Roman" w:hAnsi="Times New Roman" w:eastAsia="仿宋_GB2312" w:cs="Times New Roman"/>
          <w:color w:val="auto"/>
          <w:sz w:val="32"/>
          <w:szCs w:val="32"/>
          <w:highlight w:val="none"/>
          <w:lang w:val="en-US" w:eastAsia="zh-CN"/>
        </w:rPr>
        <w:t>我委通过书面形式征求专家意见建议，各领域专家结合宝山实际，聚焦绿色低碳产业培育和绿色低碳供应链核心功能区建设等关键命题，为宝山区绿色低碳转型“十五五”规划把脉定向</w:t>
      </w:r>
      <w:r>
        <w:rPr>
          <w:rFonts w:hint="default" w:ascii="Times New Roman" w:hAnsi="Times New Roman" w:eastAsia="仿宋_GB2312" w:cs="Times New Roman"/>
          <w:i w:val="0"/>
          <w:caps w:val="0"/>
          <w:color w:val="auto"/>
          <w:spacing w:val="0"/>
          <w:sz w:val="32"/>
          <w:szCs w:val="32"/>
        </w:rPr>
        <w:t>。</w:t>
      </w:r>
      <w:r>
        <w:rPr>
          <w:rFonts w:hint="eastAsia" w:ascii="仿宋_GB2312" w:hAnsi="仿宋_GB2312" w:eastAsia="仿宋_GB2312" w:cs="仿宋_GB2312"/>
          <w:sz w:val="32"/>
          <w:szCs w:val="32"/>
          <w:lang w:val="en-US" w:eastAsia="zh-CN"/>
        </w:rPr>
        <w:t>主要意见建议如下：</w:t>
      </w:r>
    </w:p>
    <w:p w14:paraId="50312ED3">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both"/>
        <w:textAlignment w:val="auto"/>
        <w:outlineLvl w:val="9"/>
        <w:rPr>
          <w:rFonts w:hint="default" w:ascii="Times New Roman" w:hAnsi="Times New Roman" w:eastAsia="仿宋_GB2312" w:cs="Times New Roman"/>
          <w:b/>
          <w:bCs/>
          <w:color w:val="auto"/>
          <w:sz w:val="32"/>
          <w:szCs w:val="32"/>
          <w:lang w:val="en-US"/>
        </w:rPr>
      </w:pPr>
      <w:r>
        <w:rPr>
          <w:rFonts w:hint="default" w:ascii="Times New Roman" w:hAnsi="Times New Roman" w:eastAsia="黑体" w:cs="Times New Roman"/>
          <w:b w:val="0"/>
          <w:bCs w:val="0"/>
          <w:color w:val="auto"/>
          <w:sz w:val="32"/>
          <w:szCs w:val="32"/>
          <w:lang w:val="zh-CN"/>
        </w:rPr>
        <w:t>魏玉剑（上海质科院党委书记、董事长）</w:t>
      </w:r>
    </w:p>
    <w:p w14:paraId="53EA014E">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1.部分数据(如绿色低碳产业规模)可注明来源或统计口径，增强公信力。</w:t>
      </w:r>
    </w:p>
    <w:p w14:paraId="289B6F10">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2.可适当对比全市或全国同类区域发展水平，突出宝山的优势与差距。</w:t>
      </w:r>
    </w:p>
    <w:p w14:paraId="3A87632A">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zh-CN"/>
        </w:rPr>
        <w:t>3.“绿链平台”成效显著，可以进一步描述其在商业模式或可持续运营机制方面的创新内容。</w:t>
      </w:r>
    </w:p>
    <w:p w14:paraId="281A60C3">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zh-CN"/>
        </w:rPr>
      </w:pP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zh-CN"/>
        </w:rPr>
        <w:t>.“单位增加值碳排放”等约束性指标需与市级目标进步衔接，明确分解依据。</w:t>
      </w:r>
    </w:p>
    <w:p w14:paraId="27958734">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zh-CN"/>
        </w:rPr>
      </w:pP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zh-CN"/>
        </w:rPr>
        <w:t>建议在“基本原则”中增加“市场化导向”或“企业主体作用”，突出机制创新。</w:t>
      </w:r>
    </w:p>
    <w:p w14:paraId="38EC6CC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黑体" w:cs="Times New Roman"/>
          <w:b w:val="0"/>
          <w:bCs w:val="0"/>
          <w:color w:val="auto"/>
          <w:sz w:val="32"/>
          <w:szCs w:val="32"/>
          <w:lang w:val="zh-CN"/>
        </w:rPr>
      </w:pPr>
      <w:r>
        <w:rPr>
          <w:rFonts w:hint="eastAsia" w:ascii="Times New Roman" w:hAnsi="Times New Roman" w:eastAsia="黑体" w:cs="Times New Roman"/>
          <w:b w:val="0"/>
          <w:bCs w:val="0"/>
          <w:color w:val="auto"/>
          <w:sz w:val="32"/>
          <w:szCs w:val="32"/>
          <w:lang w:val="zh-CN"/>
        </w:rPr>
        <w:t>宋学行（中国科学院上海高等研究院高级工程师）</w:t>
      </w:r>
    </w:p>
    <w:p w14:paraId="3F855EC9">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1.对进口到英国市场的钢铁、铝、水泥、化肥和氢等产品征</w:t>
      </w:r>
    </w:p>
    <w:p w14:paraId="70869204">
      <w:pPr>
        <w:pageBreakBefore w:val="0"/>
        <w:kinsoku/>
        <w:wordWrap/>
        <w:overflowPunct/>
        <w:topLinePunct w:val="0"/>
        <w:autoSpaceDE/>
        <w:autoSpaceDN/>
        <w:bidi w:val="0"/>
        <w:spacing w:line="600" w:lineRule="exact"/>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 xml:space="preserve">收“碳关税” </w:t>
      </w:r>
      <w:r>
        <w:rPr>
          <w:rFonts w:hint="eastAsia" w:ascii="Times New Roman" w:hAnsi="Times New Roman" w:eastAsia="仿宋_GB2312" w:cs="Times New Roman"/>
          <w:b/>
          <w:bCs/>
          <w:color w:val="auto"/>
          <w:sz w:val="32"/>
          <w:szCs w:val="32"/>
          <w:lang w:val="en-US" w:eastAsia="zh-CN"/>
        </w:rPr>
        <w:t xml:space="preserve">建议修改为 </w:t>
      </w:r>
      <w:r>
        <w:rPr>
          <w:rFonts w:hint="eastAsia" w:ascii="Times New Roman" w:hAnsi="Times New Roman" w:eastAsia="仿宋_GB2312" w:cs="Times New Roman"/>
          <w:color w:val="auto"/>
          <w:sz w:val="32"/>
          <w:szCs w:val="32"/>
          <w:lang w:val="en-US" w:eastAsia="zh-CN"/>
        </w:rPr>
        <w:t>对进入英国市场的钢铁、铝、水泥、化肥和氢等产品征收“碳关税”。</w:t>
      </w:r>
    </w:p>
    <w:p w14:paraId="36799E35">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 xml:space="preserve">2.全生命周期碳排放管理理念将进一步强化，加快制定碳足迹核算规则标准、构建碳足迹背景数据库、建立碳标识认证制度、推动碳足迹核算国际衔接与互认是大势所趋 </w:t>
      </w:r>
      <w:r>
        <w:rPr>
          <w:rFonts w:hint="eastAsia" w:ascii="Times New Roman" w:hAnsi="Times New Roman" w:eastAsia="仿宋_GB2312" w:cs="Times New Roman"/>
          <w:b/>
          <w:bCs/>
          <w:color w:val="auto"/>
          <w:sz w:val="32"/>
          <w:szCs w:val="32"/>
          <w:lang w:val="en-US" w:eastAsia="zh-CN"/>
        </w:rPr>
        <w:t xml:space="preserve">建议修改为 </w:t>
      </w:r>
      <w:r>
        <w:rPr>
          <w:rFonts w:hint="eastAsia" w:ascii="Times New Roman" w:hAnsi="Times New Roman" w:eastAsia="仿宋_GB2312" w:cs="Times New Roman"/>
          <w:color w:val="auto"/>
          <w:sz w:val="32"/>
          <w:szCs w:val="32"/>
          <w:lang w:val="en-US" w:eastAsia="zh-CN"/>
        </w:rPr>
        <w:t>进一步强化全生命周期碳排放管理理念，加快制定碳足迹核算规则标准、构建碳足迹背景数据库、建立碳标识认证制度、推动碳足迹核算国际衔接与互认。</w:t>
      </w:r>
    </w:p>
    <w:p w14:paraId="5A819466">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 xml:space="preserve">3.全面贯彻落实国家及本市碳达峰碳中和战略部署，稳步推动能耗双控向碳排放双控转变，积极稳妥推进宝山碳达峰目标的实现 </w:t>
      </w:r>
      <w:r>
        <w:rPr>
          <w:rFonts w:hint="eastAsia" w:ascii="Times New Roman" w:hAnsi="Times New Roman" w:eastAsia="仿宋_GB2312" w:cs="Times New Roman"/>
          <w:b/>
          <w:bCs/>
          <w:color w:val="auto"/>
          <w:sz w:val="32"/>
          <w:szCs w:val="32"/>
          <w:lang w:val="en-US" w:eastAsia="zh-CN"/>
        </w:rPr>
        <w:t>建议修改为</w:t>
      </w:r>
      <w:r>
        <w:rPr>
          <w:rFonts w:hint="eastAsia" w:ascii="Times New Roman" w:hAnsi="Times New Roman" w:eastAsia="仿宋_GB2312" w:cs="Times New Roman"/>
          <w:color w:val="auto"/>
          <w:sz w:val="32"/>
          <w:szCs w:val="32"/>
          <w:lang w:val="en-US" w:eastAsia="zh-CN"/>
        </w:rPr>
        <w:t xml:space="preserve"> 全面贯彻落实国家及本市碳达峰碳中和战略部署，稳步推动能耗双控向碳排放双控转变，积极稳妥推进宝山碳达峰碳中和目标的实现。</w:t>
      </w:r>
    </w:p>
    <w:p w14:paraId="3F9BB96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黑体" w:cs="Times New Roman"/>
          <w:b w:val="0"/>
          <w:bCs w:val="0"/>
          <w:color w:val="auto"/>
          <w:sz w:val="32"/>
          <w:szCs w:val="32"/>
          <w:lang w:val="en-US" w:eastAsia="zh-CN"/>
        </w:rPr>
      </w:pPr>
      <w:r>
        <w:rPr>
          <w:rFonts w:hint="eastAsia" w:ascii="Times New Roman" w:hAnsi="Times New Roman" w:eastAsia="黑体" w:cs="Times New Roman"/>
          <w:b w:val="0"/>
          <w:bCs w:val="0"/>
          <w:color w:val="auto"/>
          <w:sz w:val="32"/>
          <w:szCs w:val="32"/>
          <w:lang w:val="en-US" w:eastAsia="zh-CN"/>
        </w:rPr>
        <w:t>寇书萌（上海发展改革研究院能源环境所研究员）</w:t>
      </w:r>
    </w:p>
    <w:p w14:paraId="01A0B211">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1.对国际碳边境调节机制（CBAM）等外部环境有清晰识别，并指出对钢铁、化工等行业的影响，这有助于企业与政策层面提前应对合规风险。建议细化国际贸易壁垒对宝山具体产业的量化影响。</w:t>
      </w:r>
    </w:p>
    <w:p w14:paraId="41C52605">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2.文中对欧盟CBAM和英国UK CBAM的分析较为宏观。考虑到宝山拥有钢铁等典型外向型、高碳型产业，建议增加关于这些国际机制对宝山区重点出口产品具体潜在经济影响的量化预判，从而更能凸显建设“绿链平台”的紧迫性。</w:t>
      </w:r>
    </w:p>
    <w:p w14:paraId="073A9838">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建议强化“绿色制造走廊”的要素流通机制：在“打造绿色制造走廊”部分，目前侧重于地理空间的串联。建议增加关于园区间“能源互济”和“固废协同”的描述，例如上游新材料园区的余热能否服务于周边生物医药园区，使“走廊”不仅仅是物理集聚，更是生态循环链。</w:t>
      </w:r>
    </w:p>
    <w:p w14:paraId="22AC119B">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4.提升“绿链平台”的国际互认层级：在提升绿链平台能级部分，建议增加关于“积极争取与国际主流碳足迹数据库及认证体系（如欧盟PEF、EPD）实现互认”的具体表述。</w:t>
      </w:r>
    </w:p>
    <w:p w14:paraId="3F96C869">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黑体" w:cs="Times New Roman"/>
          <w:b w:val="0"/>
          <w:bCs w:val="0"/>
          <w:color w:val="auto"/>
          <w:sz w:val="32"/>
          <w:szCs w:val="32"/>
          <w:lang w:val="en-US" w:eastAsia="zh-CN"/>
        </w:rPr>
      </w:pPr>
      <w:r>
        <w:rPr>
          <w:rFonts w:hint="eastAsia" w:ascii="Times New Roman" w:hAnsi="Times New Roman" w:eastAsia="黑体" w:cs="Times New Roman"/>
          <w:b w:val="0"/>
          <w:bCs w:val="0"/>
          <w:color w:val="auto"/>
          <w:sz w:val="32"/>
          <w:szCs w:val="32"/>
          <w:lang w:val="en-US" w:eastAsia="zh-CN"/>
        </w:rPr>
        <w:t>范松（上海市节能中心科长）</w:t>
      </w:r>
    </w:p>
    <w:p w14:paraId="7F35CBFA">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六大绿色低碳产业间的联动机制略显不足，缺乏协同案例，如绿色能源与绿色制造的供需关系、循环经济与绿色建筑的资源如何互补等。部分前沿技术突破描述偏笼统，比如”超导、碳基材料核心技术持续突破”，没有明确的技术指标体现或者行业影响力体现。</w:t>
      </w:r>
    </w:p>
    <w:p w14:paraId="48A0CDCE">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2.建议对重点任务的优先级进行分析论证，避免资源分散投放，明确资源的倾斜方向。</w:t>
      </w:r>
    </w:p>
    <w:p w14:paraId="0261552B">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3.建议“强化低碳科技攻关部分”应明确具体技术和具体指标，比如电解槽技术、氢储运技术核心材料、装备的国产化率等。</w:t>
      </w:r>
      <w:bookmarkStart w:id="0" w:name="_GoBack"/>
      <w:bookmarkEnd w:id="0"/>
    </w:p>
    <w:p w14:paraId="6F727D73">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p>
    <w:sectPr>
      <w:footerReference r:id="rId3" w:type="default"/>
      <w:pgSz w:w="11906" w:h="16838"/>
      <w:pgMar w:top="1701" w:right="1474" w:bottom="170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6D05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761516">
                          <w:pPr>
                            <w:pStyle w:val="4"/>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w:t>
                          </w:r>
                          <w:r>
                            <w:rPr>
                              <w:rFonts w:hint="default" w:ascii="Times New Roman" w:hAnsi="Times New Roman" w:cs="Times New Roman"/>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761516">
                    <w:pPr>
                      <w:pStyle w:val="4"/>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w:t>
                    </w:r>
                    <w:r>
                      <w:rPr>
                        <w:rFonts w:hint="default" w:ascii="Times New Roman" w:hAnsi="Times New Roman" w:cs="Times New Roman"/>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EF6BE5"/>
    <w:rsid w:val="01526B94"/>
    <w:rsid w:val="08A02834"/>
    <w:rsid w:val="09033572"/>
    <w:rsid w:val="10EF6BE5"/>
    <w:rsid w:val="227E28B1"/>
    <w:rsid w:val="386F0836"/>
    <w:rsid w:val="3C2F2892"/>
    <w:rsid w:val="446D3841"/>
    <w:rsid w:val="49535ACC"/>
    <w:rsid w:val="67011CB6"/>
    <w:rsid w:val="71D62D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9"/>
    <w:pPr>
      <w:keepNext/>
      <w:keepLines/>
      <w:spacing w:before="160" w:after="80"/>
      <w:outlineLvl w:val="2"/>
    </w:pPr>
    <w:rPr>
      <w:rFonts w:ascii="Cambria" w:hAnsi="Cambria" w:eastAsia="宋体" w:cs="Times New Roman"/>
      <w:color w:val="366091"/>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widowControl w:val="0"/>
      <w:spacing w:before="0" w:after="140" w:line="276" w:lineRule="auto"/>
      <w:jc w:val="both"/>
    </w:pPr>
    <w:rPr>
      <w:rFonts w:ascii="Calibri" w:hAnsi="Calibri" w:eastAsia="宋体" w:cs="宋体"/>
      <w:kern w:val="2"/>
      <w:sz w:val="21"/>
      <w:szCs w:val="2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4789</Words>
  <Characters>4834</Characters>
  <Lines>0</Lines>
  <Paragraphs>0</Paragraphs>
  <TotalTime>0</TotalTime>
  <ScaleCrop>false</ScaleCrop>
  <LinksUpToDate>false</LinksUpToDate>
  <CharactersWithSpaces>4835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2025-12-02T01:30:00Z</dcterms:created>
  <dc:creator>Administrator</dc:creator>
  <cp:lastModifiedBy>李勇</cp:lastModifiedBy>
  <dcterms:modified xsi:type="dcterms:W3CDTF">2026-04-02T05:31:45Z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eyJoZGlkIjoiM2M1NDI1NTNhNmQ5NTQ1YmZlZjYzZTc3MzJkZTAzMjMiLCJ1c2VySWQiOiI2ODc0ODI0NTUifQ==</vt:lpwstr>
  </property>
  <property fmtid="{D5CDD505-2E9C-101B-9397-08002B2CF9AE}" pid="4" name="ICV">
    <vt:lpwstr>113C915A897D4C2481B97EE7CC0EC9DB_12</vt:lpwstr>
  </property>
</Properties>
</file>