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6A" w:rsidRDefault="0009446A" w:rsidP="0009446A">
      <w:pPr>
        <w:ind w:right="780"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  <w:lang w:bidi="ar"/>
        </w:rPr>
        <w:t>附件1</w:t>
      </w:r>
    </w:p>
    <w:p w:rsidR="0009446A" w:rsidRDefault="0009446A" w:rsidP="0009446A">
      <w:pPr>
        <w:ind w:right="780"/>
        <w:jc w:val="center"/>
        <w:rPr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  <w:lang w:bidi="ar"/>
        </w:rPr>
        <w:t>企业创建和谐劳动关系指标表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900"/>
        <w:gridCol w:w="540"/>
        <w:gridCol w:w="1800"/>
        <w:gridCol w:w="803"/>
        <w:gridCol w:w="2437"/>
        <w:gridCol w:w="540"/>
        <w:gridCol w:w="1014"/>
      </w:tblGrid>
      <w:tr w:rsidR="0009446A" w:rsidTr="009C7AEF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考评责任</w:t>
            </w:r>
          </w:p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部门</w:t>
            </w:r>
          </w:p>
        </w:tc>
      </w:tr>
      <w:tr w:rsidR="0009446A" w:rsidTr="009C7AEF">
        <w:trPr>
          <w:cantSplit/>
          <w:trHeight w:val="42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规范性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用工管理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企业建立职工名册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依法签订劳动合同，签订率达100%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3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劳动合同具备法定内容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4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依法办理用工登记手续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5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1-1-5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企业建立和完善规章制度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4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工作时间和福利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1-2-1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执行国家工时制度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5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1-2-2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按时足额发放工资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4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1-2-3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执行国家休假制度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75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1-3-1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依法办理社会保险登记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09446A" w:rsidTr="009C7AEF">
        <w:trPr>
          <w:cantSplit/>
          <w:trHeight w:val="75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1-3-2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依法按时足额缴纳社会保险费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09446A" w:rsidTr="009C7AEF">
        <w:trPr>
          <w:cantSplit/>
          <w:trHeight w:val="75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1-3-3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依法缴纳住房公积金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61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1-3-4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依法及时足额缴纳欠薪保障金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74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劳动保护和劳动安全卫生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1-4-1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劳动保护措施和劳动安全卫生条件符合国家规定的标准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54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1-4-2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执行女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职工和未成年工特殊劳动保护规定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7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建制性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党组织建制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建立党组织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42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工会建制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2-2-1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依法组建工会组织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63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2-2-2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依法按时足额拨缴工会经费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74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民主管理建制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2-3-1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依法建立职工代表大会制度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09446A" w:rsidTr="009C7AEF">
        <w:trPr>
          <w:cantSplit/>
          <w:trHeight w:val="106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2-3-2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实行厂务公开制度或建立与企业相适应的其他民主管理制度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446A" w:rsidRDefault="0009446A" w:rsidP="007107C8">
            <w:pPr>
              <w:spacing w:line="200" w:lineRule="exact"/>
              <w:jc w:val="center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6A" w:rsidRDefault="0009446A" w:rsidP="007107C8">
            <w:pPr>
              <w:spacing w:line="200" w:lineRule="exact"/>
              <w:rPr>
                <w:rFonts w:ascii="宋体" w:hAnsi="宋体" w:cs="Arial Unicode MS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集体协商建制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2-4-1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签订集体合同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5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2-4-2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签订工资专项集体合同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148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劳动纠纷协调建制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2-5-1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pacing w:val="-1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2"/>
                <w:sz w:val="20"/>
                <w:szCs w:val="20"/>
                <w:lang w:bidi="ar"/>
              </w:rPr>
              <w:t>建立企业劳动争议调解组织或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其他与企业相适应的劳动纠纷协调制度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发展性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工资福利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企业工资水平不低于本市职工平均工资水平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50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建立补充住房公积金制度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1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建立企业年金制度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建立补充医疗保险制度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4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参加职工互助保障计划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为女职工设立母婴室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25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安排定期体检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24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安排定期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疗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休养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26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提供工作餐便利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26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3-1-10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提供上下班便利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60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职业培训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3-2-1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建立职工培训制度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60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3-2-2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按规定提取和使用职工教育培训经费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80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3-2-3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组织开展职业培训和岗位练兵技能竞赛活动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7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文化建设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3-3-1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建立“职工之家”、“职工书屋”等，开展企业文化建设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3-3-2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组织开展劳动竞赛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6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3-3-3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组织开展职工合理化</w:t>
            </w:r>
          </w:p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建议活动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4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3-3-4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组织开展职工文体活动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5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社会责任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3-4-1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吸纳就业困难人员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76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3-4-2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吸纳残疾人就业或缴纳残疾人就业保障金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4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3-4-3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关爱本企业职工家属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55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3-4-4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积极参加社会慈善活动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5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感受性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职工满意度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企业同事间关系融洽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企业与职工沟通顺畅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9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对职业发展机会满意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有较强参与度和归属感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对企业日常管理行为满意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工作认可度高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9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了解并认同企业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的愿景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1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业务上能得到有效指导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9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认同企业文化和价值观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管理变动中得到有效支持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0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报酬与本人付出相符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81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薪酬制度公平公正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32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工作能发挥本人才能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49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4-1-14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企业保障提供职工开展工作所需各项资源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58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减分指标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存在建制不全情形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接触职业病危害作业的职工未定期进行健康检查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5-1-2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职工董事和职工监事制度建制不全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街道（镇）</w:t>
            </w:r>
          </w:p>
        </w:tc>
      </w:tr>
      <w:tr w:rsidR="009C7AEF" w:rsidTr="009C7AEF">
        <w:trPr>
          <w:cantSplit/>
          <w:trHeight w:val="157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5减分指标5-2劳动关系表现不稳定</w:t>
            </w:r>
            <w:r>
              <w:rPr>
                <w:lang w:bidi="ar"/>
              </w:rPr>
              <w:t xml:space="preserve"> </w:t>
            </w:r>
          </w:p>
          <w:p w:rsidR="009C7AEF" w:rsidRDefault="009C7AEF" w:rsidP="007107C8">
            <w:pPr>
              <w:widowControl/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5-2-1</w:t>
            </w:r>
          </w:p>
          <w:p w:rsidR="009C7AEF" w:rsidRDefault="009C7AEF" w:rsidP="007107C8">
            <w:pPr>
              <w:pStyle w:val="a5"/>
              <w:spacing w:beforeAutospacing="1" w:afterAutospacing="1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劳动保障监察投诉举报多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0/-2/-4/-6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5-2-2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劳动争议数量多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0/-2/-4/-6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5-2-3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工伤事故多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0/-2/-4…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5-2-4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员工流失率高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0/-2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一票否决指标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6-1-1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逾期未履行劳动保障监察行政处理决定或受到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保障保障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监察行政处罚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6-1-2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住房公积金管理部门行政处罚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52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重大事故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6-2-1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重大安全生产责任事故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57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6-2-2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重大职业病危害事故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Arial Unicode MS" w:hint="eastAsia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sz w:val="20"/>
                <w:szCs w:val="20"/>
                <w:lang w:bidi="ar"/>
              </w:rPr>
              <w:t>其他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6-3-1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因劳动保障问题引发的群体性事件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  <w:tr w:rsidR="009C7AEF" w:rsidTr="009C7AEF">
        <w:trPr>
          <w:cantSplit/>
          <w:trHeight w:val="6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6-3-2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创建过程提供虚假材料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EF" w:rsidRDefault="009C7AEF" w:rsidP="007107C8">
            <w:pPr>
              <w:spacing w:line="2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区三方</w:t>
            </w:r>
          </w:p>
        </w:tc>
      </w:tr>
    </w:tbl>
    <w:p w:rsidR="004947FD" w:rsidRPr="00F313B9" w:rsidRDefault="00007047">
      <w:bookmarkStart w:id="0" w:name="_GoBack"/>
      <w:bookmarkEnd w:id="0"/>
    </w:p>
    <w:sectPr w:rsidR="004947FD" w:rsidRPr="00F3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47" w:rsidRDefault="00007047" w:rsidP="00F313B9">
      <w:r>
        <w:separator/>
      </w:r>
    </w:p>
  </w:endnote>
  <w:endnote w:type="continuationSeparator" w:id="0">
    <w:p w:rsidR="00007047" w:rsidRDefault="00007047" w:rsidP="00F3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47" w:rsidRDefault="00007047" w:rsidP="00F313B9">
      <w:r>
        <w:separator/>
      </w:r>
    </w:p>
  </w:footnote>
  <w:footnote w:type="continuationSeparator" w:id="0">
    <w:p w:rsidR="00007047" w:rsidRDefault="00007047" w:rsidP="00F3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53"/>
    <w:rsid w:val="00007047"/>
    <w:rsid w:val="0009446A"/>
    <w:rsid w:val="001649BF"/>
    <w:rsid w:val="001C263F"/>
    <w:rsid w:val="00345753"/>
    <w:rsid w:val="006244F8"/>
    <w:rsid w:val="009C7AEF"/>
    <w:rsid w:val="00B42D79"/>
    <w:rsid w:val="00F3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3B9"/>
    <w:rPr>
      <w:sz w:val="18"/>
      <w:szCs w:val="18"/>
    </w:rPr>
  </w:style>
  <w:style w:type="paragraph" w:styleId="a5">
    <w:name w:val="Normal (Web)"/>
    <w:basedOn w:val="a"/>
    <w:rsid w:val="009C7AEF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Char1CharCharChar2Char">
    <w:name w:val="Char Char1 Char Char Char2 Char"/>
    <w:basedOn w:val="a"/>
    <w:rsid w:val="009C7AEF"/>
    <w:pPr>
      <w:tabs>
        <w:tab w:val="left" w:pos="850"/>
      </w:tabs>
      <w:spacing w:beforeLines="100" w:afterLines="100"/>
      <w:ind w:left="862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3B9"/>
    <w:rPr>
      <w:sz w:val="18"/>
      <w:szCs w:val="18"/>
    </w:rPr>
  </w:style>
  <w:style w:type="paragraph" w:styleId="a5">
    <w:name w:val="Normal (Web)"/>
    <w:basedOn w:val="a"/>
    <w:rsid w:val="009C7AEF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Char1CharCharChar2Char">
    <w:name w:val="Char Char1 Char Char Char2 Char"/>
    <w:basedOn w:val="a"/>
    <w:rsid w:val="009C7AEF"/>
    <w:pPr>
      <w:tabs>
        <w:tab w:val="left" w:pos="850"/>
      </w:tabs>
      <w:spacing w:beforeLines="100" w:afterLines="100"/>
      <w:ind w:left="862" w:hanging="43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刘唯杰(刘唯杰:起草)</dc:creator>
  <cp:keywords/>
  <dc:description/>
  <cp:lastModifiedBy>刘唯杰(刘唯杰:起草)</cp:lastModifiedBy>
  <cp:revision>5</cp:revision>
  <dcterms:created xsi:type="dcterms:W3CDTF">2018-05-28T07:30:00Z</dcterms:created>
  <dcterms:modified xsi:type="dcterms:W3CDTF">2018-05-29T02:50:00Z</dcterms:modified>
</cp:coreProperties>
</file>